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CE" w:rsidRDefault="009807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07CE" w:rsidRDefault="009807CE">
      <w:pPr>
        <w:pStyle w:val="ConsPlusNormal"/>
        <w:outlineLvl w:val="0"/>
      </w:pPr>
    </w:p>
    <w:p w:rsidR="009807CE" w:rsidRDefault="009807CE">
      <w:pPr>
        <w:pStyle w:val="ConsPlusTitle"/>
        <w:jc w:val="center"/>
        <w:outlineLvl w:val="0"/>
      </w:pPr>
      <w:r>
        <w:t>КОМИТЕТ ПО МОЛОДЕЖНОЙ ПОЛИТИКЕ ЛЕНИНГРАДСКОЙ ОБЛАСТИ</w:t>
      </w:r>
    </w:p>
    <w:p w:rsidR="009807CE" w:rsidRDefault="009807CE">
      <w:pPr>
        <w:pStyle w:val="ConsPlusTitle"/>
      </w:pPr>
    </w:p>
    <w:p w:rsidR="009807CE" w:rsidRDefault="009807CE">
      <w:pPr>
        <w:pStyle w:val="ConsPlusTitle"/>
        <w:jc w:val="center"/>
      </w:pPr>
      <w:r>
        <w:t>ПРИКАЗ</w:t>
      </w:r>
    </w:p>
    <w:p w:rsidR="009807CE" w:rsidRDefault="009807CE">
      <w:pPr>
        <w:pStyle w:val="ConsPlusTitle"/>
        <w:jc w:val="center"/>
      </w:pPr>
      <w:r>
        <w:t>от 23 июля 2019 г. N О-4/2019</w:t>
      </w:r>
    </w:p>
    <w:p w:rsidR="009807CE" w:rsidRDefault="009807CE">
      <w:pPr>
        <w:pStyle w:val="ConsPlusTitle"/>
      </w:pPr>
    </w:p>
    <w:p w:rsidR="009807CE" w:rsidRDefault="009807CE">
      <w:pPr>
        <w:pStyle w:val="ConsPlusTitle"/>
        <w:jc w:val="center"/>
      </w:pPr>
      <w:r>
        <w:t xml:space="preserve">ОБ УТВЕРЖДЕНИИ СТАНДАРТА ДЕЯТЕЛЬНОСТИ </w:t>
      </w:r>
      <w:proofErr w:type="gramStart"/>
      <w:r>
        <w:t>МОЛОДЕЖНЫХ</w:t>
      </w:r>
      <w:proofErr w:type="gramEnd"/>
    </w:p>
    <w:p w:rsidR="009807CE" w:rsidRDefault="009807CE">
      <w:pPr>
        <w:pStyle w:val="ConsPlusTitle"/>
        <w:jc w:val="center"/>
      </w:pPr>
      <w:r>
        <w:t xml:space="preserve">КОВОРКИНГ-ЦЕНТРОВ НА ТЕРРИТОРИИ </w:t>
      </w:r>
      <w:proofErr w:type="gramStart"/>
      <w:r>
        <w:t>МУНИЦИПАЛЬНЫХ</w:t>
      </w:r>
      <w:proofErr w:type="gramEnd"/>
    </w:p>
    <w:p w:rsidR="009807CE" w:rsidRDefault="009807CE">
      <w:pPr>
        <w:pStyle w:val="ConsPlusTitle"/>
        <w:jc w:val="center"/>
      </w:pPr>
      <w:r>
        <w:t>ОБРАЗОВАНИЙ ЛЕНИНГРАДСКОЙ ОБЛАСТИ</w:t>
      </w:r>
    </w:p>
    <w:p w:rsidR="009807CE" w:rsidRDefault="009807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7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7CE" w:rsidRDefault="00980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CE" w:rsidRDefault="009807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молодежной политике Ленинградской области</w:t>
            </w:r>
            <w:proofErr w:type="gramEnd"/>
          </w:p>
          <w:p w:rsidR="009807CE" w:rsidRDefault="009807CE">
            <w:pPr>
              <w:pStyle w:val="ConsPlusNormal"/>
              <w:jc w:val="center"/>
            </w:pPr>
            <w:r>
              <w:rPr>
                <w:color w:val="392C69"/>
              </w:rPr>
              <w:t>от 30.06.2020 N О-5/2020)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</w:tr>
    </w:tbl>
    <w:p w:rsidR="009807CE" w:rsidRDefault="009807CE">
      <w:pPr>
        <w:pStyle w:val="ConsPlusNormal"/>
      </w:pPr>
    </w:p>
    <w:p w:rsidR="009807CE" w:rsidRDefault="009807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п. 2.2</w:t>
        </w:r>
      </w:hyperlink>
      <w:r>
        <w:t xml:space="preserve"> "Порядка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материально-техническое обеспечение молодежных коворкинг-центров" государственной программы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399:</w:t>
      </w:r>
      <w:proofErr w:type="gramEnd"/>
    </w:p>
    <w:p w:rsidR="009807CE" w:rsidRDefault="009807CE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комитета по молодежной политике Ленинградской области от 30.06.2020 N О-5/2020)</w:t>
      </w:r>
    </w:p>
    <w:p w:rsidR="009807CE" w:rsidRDefault="009807CE">
      <w:pPr>
        <w:pStyle w:val="ConsPlusNormal"/>
      </w:pPr>
    </w:p>
    <w:p w:rsidR="009807CE" w:rsidRDefault="009807CE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деятельности молодежных коворкинг-центров на территории муниципальных образований Ленинградской области в соответствии с Приложением к настоящему Приказу.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2. Начальнику отдела молодежной политики и начальнику сектора бухгалтерского учета и отчетности осуществлять </w:t>
      </w:r>
      <w:proofErr w:type="gramStart"/>
      <w:r>
        <w:t>контроль за</w:t>
      </w:r>
      <w:proofErr w:type="gramEnd"/>
      <w:r>
        <w:t xml:space="preserve"> соблюдением Стандарта при предоставлении субсидий бюджетам муниципальных образований Ленинградской области на материально-техническое обеспечение молодежных коворкинг-центров.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807CE" w:rsidRDefault="009807CE">
      <w:pPr>
        <w:pStyle w:val="ConsPlusNormal"/>
      </w:pPr>
    </w:p>
    <w:p w:rsidR="009807CE" w:rsidRDefault="009807CE">
      <w:pPr>
        <w:pStyle w:val="ConsPlusNormal"/>
        <w:jc w:val="right"/>
      </w:pPr>
      <w:r>
        <w:t>Председатель комитета</w:t>
      </w:r>
    </w:p>
    <w:p w:rsidR="009807CE" w:rsidRDefault="009807CE">
      <w:pPr>
        <w:pStyle w:val="ConsPlusNormal"/>
        <w:jc w:val="right"/>
      </w:pPr>
      <w:r>
        <w:t>А.Г.Орлов</w:t>
      </w:r>
    </w:p>
    <w:p w:rsidR="009807CE" w:rsidRDefault="009807CE">
      <w:pPr>
        <w:pStyle w:val="ConsPlusNormal"/>
      </w:pPr>
    </w:p>
    <w:p w:rsidR="009807CE" w:rsidRDefault="009807CE">
      <w:pPr>
        <w:pStyle w:val="ConsPlusNormal"/>
      </w:pPr>
    </w:p>
    <w:p w:rsidR="009807CE" w:rsidRDefault="009807CE">
      <w:pPr>
        <w:pStyle w:val="ConsPlusNormal"/>
      </w:pPr>
    </w:p>
    <w:p w:rsidR="009807CE" w:rsidRDefault="009807CE">
      <w:pPr>
        <w:pStyle w:val="ConsPlusNormal"/>
      </w:pPr>
    </w:p>
    <w:p w:rsidR="009807CE" w:rsidRDefault="009807CE">
      <w:pPr>
        <w:pStyle w:val="ConsPlusNormal"/>
      </w:pPr>
    </w:p>
    <w:p w:rsidR="009807CE" w:rsidRDefault="009807CE">
      <w:pPr>
        <w:pStyle w:val="ConsPlusNormal"/>
        <w:jc w:val="right"/>
        <w:outlineLvl w:val="0"/>
      </w:pPr>
      <w:r>
        <w:t>ПРИЛОЖЕНИЕ</w:t>
      </w:r>
    </w:p>
    <w:p w:rsidR="009807CE" w:rsidRDefault="009807CE">
      <w:pPr>
        <w:pStyle w:val="ConsPlusNormal"/>
        <w:jc w:val="right"/>
      </w:pPr>
      <w:r>
        <w:t>к приказу комитета</w:t>
      </w:r>
    </w:p>
    <w:p w:rsidR="009807CE" w:rsidRDefault="009807CE">
      <w:pPr>
        <w:pStyle w:val="ConsPlusNormal"/>
        <w:jc w:val="right"/>
      </w:pPr>
      <w:r>
        <w:t>по молодежной политике</w:t>
      </w:r>
    </w:p>
    <w:p w:rsidR="009807CE" w:rsidRDefault="009807CE">
      <w:pPr>
        <w:pStyle w:val="ConsPlusNormal"/>
        <w:jc w:val="right"/>
      </w:pPr>
      <w:r>
        <w:t>Ленинградской области</w:t>
      </w:r>
    </w:p>
    <w:p w:rsidR="009807CE" w:rsidRDefault="009807CE">
      <w:pPr>
        <w:pStyle w:val="ConsPlusNormal"/>
        <w:jc w:val="right"/>
      </w:pPr>
      <w:r>
        <w:t>от 23.07.2019 N О-4/2019</w:t>
      </w:r>
    </w:p>
    <w:p w:rsidR="009807CE" w:rsidRDefault="009807CE">
      <w:pPr>
        <w:pStyle w:val="ConsPlusNormal"/>
      </w:pPr>
    </w:p>
    <w:p w:rsidR="009807CE" w:rsidRDefault="009807CE">
      <w:pPr>
        <w:pStyle w:val="ConsPlusTitle"/>
        <w:jc w:val="center"/>
      </w:pPr>
      <w:bookmarkStart w:id="0" w:name="P33"/>
      <w:bookmarkEnd w:id="0"/>
      <w:r>
        <w:t>СТАНДАРТ</w:t>
      </w:r>
    </w:p>
    <w:p w:rsidR="009807CE" w:rsidRDefault="009807CE">
      <w:pPr>
        <w:pStyle w:val="ConsPlusTitle"/>
        <w:jc w:val="center"/>
      </w:pPr>
      <w:r>
        <w:t xml:space="preserve">ДЕЯТЕЛЬНОСТИ </w:t>
      </w:r>
      <w:proofErr w:type="gramStart"/>
      <w:r>
        <w:t>МОЛОДЕЖНЫХ</w:t>
      </w:r>
      <w:proofErr w:type="gramEnd"/>
      <w:r>
        <w:t xml:space="preserve"> КОВОРКИНГ-ЦЕНТРОВ НА ТЕРРИТОРИИ</w:t>
      </w:r>
    </w:p>
    <w:p w:rsidR="009807CE" w:rsidRDefault="009807CE">
      <w:pPr>
        <w:pStyle w:val="ConsPlusTitle"/>
        <w:jc w:val="center"/>
      </w:pPr>
      <w:r>
        <w:t>МУНИЦИПАЛЬНЫХ ОБРАЗОВАНИЙ ЛЕНИНГРАДСКОЙ ОБЛАСТИ</w:t>
      </w:r>
    </w:p>
    <w:p w:rsidR="009807CE" w:rsidRDefault="009807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7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7CE" w:rsidRDefault="00980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CE" w:rsidRDefault="009807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молодежной политике Ленинградской области</w:t>
            </w:r>
            <w:proofErr w:type="gramEnd"/>
          </w:p>
          <w:p w:rsidR="009807CE" w:rsidRDefault="009807CE">
            <w:pPr>
              <w:pStyle w:val="ConsPlusNormal"/>
              <w:jc w:val="center"/>
            </w:pPr>
            <w:r>
              <w:rPr>
                <w:color w:val="392C69"/>
              </w:rPr>
              <w:t>от 30.06.2020 N О-5/2020)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</w:tr>
    </w:tbl>
    <w:p w:rsidR="009807CE" w:rsidRDefault="009807CE">
      <w:pPr>
        <w:pStyle w:val="ConsPlusNormal"/>
      </w:pPr>
    </w:p>
    <w:p w:rsidR="009807CE" w:rsidRDefault="009807CE">
      <w:pPr>
        <w:pStyle w:val="ConsPlusNormal"/>
        <w:ind w:firstLine="540"/>
        <w:jc w:val="both"/>
      </w:pPr>
      <w:r>
        <w:t>1. Настоящий Стандарт деятельности молодежных коворкинг-центров на территории муниципальных образований Ленинградской области для целей предоставления субсидий бюджетам муниципальных образований Ленинградской области на материально-техническое обеспечение молодежных коворкинг-центров (далее - Стандарт) разработан в целях определения основных задач деятельности молодежных коворкинг-центров, требований к стратегии развития коворкинг-центров, минимальному набору услуг, оказываемых на территории молодежных коворкинг-центров.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2. Молодежные коворкинг-центры ведут свою деятельность 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 и нормативными правовыми актами Ленинградской области, в том числе: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"Об основных гарантиях прав ребенка в Российской Федерации" от 24.07.1998 N 124-ФЗ;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"О защите детей от информации, причиняющей вред их здоровью и развитию" от 29.12.2010 N 436-ФЗ.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3. Муниципальные образования - получатели средств бюджета Ленинградской области на цели создания молодежных коворкинг-центров на территории Ленинградской области осуществляют свою деятельность по организации функционирования молодежного коворкинг-центра, оснащенного за счет бюджета Ленинградской области, в соответствии с настоящим Стандартом.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4. Понятия, используемые в </w:t>
      </w:r>
      <w:proofErr w:type="gramStart"/>
      <w:r>
        <w:t>настоящем</w:t>
      </w:r>
      <w:proofErr w:type="gramEnd"/>
      <w:r>
        <w:t xml:space="preserve"> Стандарте:</w:t>
      </w:r>
    </w:p>
    <w:p w:rsidR="009807CE" w:rsidRDefault="009807CE">
      <w:pPr>
        <w:pStyle w:val="ConsPlusNormal"/>
        <w:spacing w:before="220"/>
        <w:ind w:firstLine="540"/>
        <w:jc w:val="both"/>
      </w:pPr>
      <w:proofErr w:type="gramStart"/>
      <w:r>
        <w:t>- молодежный коворкинг-центр - организованное пространство, оснащенное оборудованными рабочими местами, сдаваемое в аренду (в том числе безвозмездную) на необходимый срок (час, день, неделю, но не более 30 дней подряд) с необходимым для организации и ведения обучающей, образовательной, добровольческой, предпринимательской, общественной деятельности, набором услуг, оказываемых на его территории;</w:t>
      </w:r>
      <w:proofErr w:type="gramEnd"/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управляющая компания </w:t>
      </w:r>
      <w:proofErr w:type="gramStart"/>
      <w:r>
        <w:t>молодежного</w:t>
      </w:r>
      <w:proofErr w:type="gramEnd"/>
      <w:r>
        <w:t xml:space="preserve"> коворкинг-центра - юридическое лицо, осуществляющее деятельность по управлению коворкинг-центром;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резидент коворкинг-центра - физическое лицо в возрасте от 14 до 30 лет, индивидуальный предприниматель в возрасте от 18 до 35 лет, заключившее с управляющей компанией молодежного коворкинг-центра договор оказания услуг </w:t>
      </w:r>
      <w:proofErr w:type="gramStart"/>
      <w:r>
        <w:t>и(</w:t>
      </w:r>
      <w:proofErr w:type="gramEnd"/>
      <w:r>
        <w:t>или) аренды (в том числе безвозмездной) с целью получения услуг и(или) осуществления своей деятельности на территории молодежного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proofErr w:type="gramStart"/>
      <w:r>
        <w:t>- управление молодежным коворкинг-центром - деятельность муниципального образования - получателя средств областного бюджета на цели создания молодежных коворкинг-центров на территории Ленинградской области, направленная на обеспечение функционирования молодежного коворкинг-центра и выполнения поставленных перед ним задач.</w:t>
      </w:r>
      <w:proofErr w:type="gramEnd"/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Целью создания молодежных коворкинг-центров на территории Ленинградской области за счет средств бюджета Ленинградской области является формирование благоприятных условий для всестороннего развития молодежи, развитие общественных объединений, деятельность которых связана с реализацией государственной молодежной политики на территории Ленинградской области, а также стимулирование молодежной предпринимательской активности </w:t>
      </w:r>
      <w:r>
        <w:lastRenderedPageBreak/>
        <w:t>на территории Ленинградской области путем создания инфраструктуры для реализации мероприятий по работе с молодежью на территории муниципальных</w:t>
      </w:r>
      <w:proofErr w:type="gramEnd"/>
      <w:r>
        <w:t xml:space="preserve"> образований Ленинградской области.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6. Задачами деятельности </w:t>
      </w:r>
      <w:proofErr w:type="gramStart"/>
      <w:r>
        <w:t>молодежных</w:t>
      </w:r>
      <w:proofErr w:type="gramEnd"/>
      <w:r>
        <w:t xml:space="preserve"> коворкинг-центров на территории Ленинградской области являются: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обеспечение доступа целевой аудитории к инфраструктуре молодежного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взаимодействие, обмен опытом с другими молодежными коворкинг-центрами в Ленинградской области, Российской Федерации;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организация и проведение обучающих мероприятий, конференций, семинаров, тренингов, мастер-классов, иных мероприятий, направленных на реализацию </w:t>
      </w:r>
      <w:proofErr w:type="gramStart"/>
      <w:r>
        <w:t>государственной</w:t>
      </w:r>
      <w:proofErr w:type="gramEnd"/>
      <w:r>
        <w:t xml:space="preserve"> молодежной политики;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создание сообщества общественных объединений, деятельность которых связана с реализацией государственной молодежной политики на территории Ленинградской области;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создание молодежного предпринимательского сообщества с участием резидентов коворкинг-центра, субъектов малого и среднего предпринимательства (в том числе потенциальных) (далее - МСП);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предоставление консультационных и информационных услуг по вопросам реализации государственной молодежной политики на территории Ленинградской области.</w:t>
      </w:r>
    </w:p>
    <w:p w:rsidR="009807CE" w:rsidRDefault="009807CE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7. Целевая аудитория молодежного коворкинг-центра включая, </w:t>
      </w:r>
      <w:proofErr w:type="gramStart"/>
      <w:r>
        <w:t>но</w:t>
      </w:r>
      <w:proofErr w:type="gramEnd"/>
      <w:r>
        <w:t xml:space="preserve"> не ограничиваясь, состоит из: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физических лиц от 14 до 30 лет;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общественных объединений, деятельность которых связана с реализацией государственной молодежной политики на территории Ленинградской области;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субъектов МСП (в том числе потенциальных).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8. Основными задачами стратегии развития </w:t>
      </w:r>
      <w:proofErr w:type="gramStart"/>
      <w:r>
        <w:t>молодежного</w:t>
      </w:r>
      <w:proofErr w:type="gramEnd"/>
      <w:r>
        <w:t xml:space="preserve"> коворкинг-центра являются: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донесение информации до целевой аудитории коворкинг-центра, указанной в </w:t>
      </w:r>
      <w:hyperlink w:anchor="P58" w:history="1">
        <w:r>
          <w:rPr>
            <w:color w:val="0000FF"/>
          </w:rPr>
          <w:t>пункте 7</w:t>
        </w:r>
      </w:hyperlink>
      <w:r>
        <w:t xml:space="preserve"> настоящего Стандарта, о деятельности молодежного коворкинг-центра, предоставляемых услугах, возможности оказания услуг, предоставляемых лицами, входящими в целевую аудиторию, на территории молодежного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привлечение и расширение целевой аудитории;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достижение целевых показателей результативности деятельности </w:t>
      </w:r>
      <w:proofErr w:type="gramStart"/>
      <w:r>
        <w:t>молодежного</w:t>
      </w:r>
      <w:proofErr w:type="gramEnd"/>
      <w:r>
        <w:t xml:space="preserve">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9. Рекомендуемые каналы коммуникации по продвижению </w:t>
      </w:r>
      <w:proofErr w:type="gramStart"/>
      <w:r>
        <w:t>молодежных</w:t>
      </w:r>
      <w:proofErr w:type="gramEnd"/>
      <w:r>
        <w:t xml:space="preserve"> коворкинг-центров:</w:t>
      </w:r>
    </w:p>
    <w:p w:rsidR="009807CE" w:rsidRDefault="009807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jc w:val="center"/>
            </w:pPr>
            <w:r>
              <w:t>Рекламные каналы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Рекламный щит (билборд)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 xml:space="preserve">Размещение рекламного щита на территории муниципального образования, в котором осуществляет </w:t>
            </w:r>
            <w:r>
              <w:lastRenderedPageBreak/>
              <w:t xml:space="preserve">деятельность </w:t>
            </w:r>
            <w:proofErr w:type="gramStart"/>
            <w:r>
              <w:t>молодежный</w:t>
            </w:r>
            <w:proofErr w:type="gramEnd"/>
            <w:r>
              <w:t xml:space="preserve"> коворкинг-центр</w:t>
            </w:r>
          </w:p>
        </w:tc>
      </w:tr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lastRenderedPageBreak/>
              <w:t>Телевидение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Выпуск сюжетов, новостей, интервью</w:t>
            </w:r>
          </w:p>
        </w:tc>
      </w:tr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Раздаточные материалы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 xml:space="preserve">Организация изготовления и распространения раздаточных материалов в </w:t>
            </w:r>
            <w:proofErr w:type="gramStart"/>
            <w:r>
              <w:t>местах</w:t>
            </w:r>
            <w:proofErr w:type="gramEnd"/>
            <w:r>
              <w:t xml:space="preserve"> массового скопления людей</w:t>
            </w:r>
          </w:p>
        </w:tc>
      </w:tr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Интернет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Размещение информации на интернет-сайтах, в том числе в социальных сетях</w:t>
            </w:r>
          </w:p>
        </w:tc>
      </w:tr>
      <w:tr w:rsidR="009807CE">
        <w:tc>
          <w:tcPr>
            <w:tcW w:w="3231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Радио</w:t>
            </w:r>
          </w:p>
        </w:tc>
        <w:tc>
          <w:tcPr>
            <w:tcW w:w="5839" w:type="dxa"/>
          </w:tcPr>
          <w:p w:rsidR="009807CE" w:rsidRDefault="009807CE">
            <w:pPr>
              <w:pStyle w:val="ConsPlusNormal"/>
              <w:ind w:firstLine="283"/>
              <w:jc w:val="both"/>
            </w:pPr>
            <w:r>
              <w:t>Выпуск новостных заметок, интервью с резидентами коворкинг-центра, рекламных акций</w:t>
            </w:r>
          </w:p>
        </w:tc>
      </w:tr>
    </w:tbl>
    <w:p w:rsidR="009807CE" w:rsidRDefault="009807CE">
      <w:pPr>
        <w:pStyle w:val="ConsPlusNormal"/>
      </w:pPr>
    </w:p>
    <w:p w:rsidR="009807CE" w:rsidRDefault="009807CE">
      <w:pPr>
        <w:pStyle w:val="ConsPlusNormal"/>
        <w:ind w:firstLine="540"/>
        <w:jc w:val="both"/>
      </w:pPr>
      <w:r>
        <w:t xml:space="preserve">10. Требования к </w:t>
      </w:r>
      <w:proofErr w:type="gramStart"/>
      <w:r>
        <w:t>молодежному</w:t>
      </w:r>
      <w:proofErr w:type="gramEnd"/>
      <w:r>
        <w:t xml:space="preserve"> коворкинг-центру: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наличие собственных, арендованных или полученных в безвозмездное пользование помещений площадью не менее 100 кв. м;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наличие парковочного пространства;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наличие в пешей доступности (не более 10 минут пешком) банков (терминалов), организаций питания;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оформление интерьера молодежного коворкинг-центра в </w:t>
      </w:r>
      <w:proofErr w:type="gramStart"/>
      <w:r>
        <w:t>соответствии</w:t>
      </w:r>
      <w:proofErr w:type="gramEnd"/>
      <w:r>
        <w:t xml:space="preserve"> с брендбуком, предоставляемым комитетом по молодежной политике Ленинградской области.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Управляющая компания организует содержание помещения в технически исправном и надлежащем санитарном </w:t>
      </w:r>
      <w:proofErr w:type="gramStart"/>
      <w:r>
        <w:t>состоянии</w:t>
      </w:r>
      <w:proofErr w:type="gramEnd"/>
      <w:r>
        <w:t>. Уборка коворкинг-центра должна производиться ежедневно.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Температура помещения должна соответствовать сезонности и внешней температуре.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 Требования к функциональным зонам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11.1. Обязательные функциональные зоны: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11.1.1. Зона коворкинга, которая включает в себя: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оборудованные рабочие места (под оборудованным рабочим местом понимается наличие стола, стула, сетевого фильтра, ноутбука, органайзера) (минимально - 10 рабочих мест);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устройства печати (минимально - 10 шт.);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ноутбук администратора;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ящики для хранения личных вещей (минимально - 10 шт.).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11.1.2. Переговорные комнаты (минимально - 1), представляющие собой изолированные помещения для проведения переговоров и иных рабочих совещаний, оборудованные столами, стульями/офисными креслами, маркерной доской, плазменным экраном, офисными диванами.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11.1.3. Гардероб.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11.2. Факультативные функциональные зоны: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11.2.1. Мини-офисы, представляющие </w:t>
      </w:r>
      <w:proofErr w:type="gramStart"/>
      <w:r>
        <w:t>собой</w:t>
      </w:r>
      <w:proofErr w:type="gramEnd"/>
      <w:r>
        <w:t xml:space="preserve"> изолированные помещения с оборудованными рабочими местами, с возможностью размещения от двух до восьми стационарных рабочих мест, </w:t>
      </w:r>
      <w:r>
        <w:lastRenderedPageBreak/>
        <w:t>оборудованных ноутбуками с выходом в сеть Интернет и устройствами печати, предоставленные во временное пользование резидентам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11.2.2. Конференц-зона/лекторий, </w:t>
      </w:r>
      <w:proofErr w:type="gramStart"/>
      <w:r>
        <w:t>представляющая</w:t>
      </w:r>
      <w:proofErr w:type="gramEnd"/>
      <w:r>
        <w:t xml:space="preserve"> собой помещение для проведения образовательных, тренинговых и иных мероприятий вместимостью от 40 посадочных мест, оборудованное мебелью (столы и стулья), мультимедиапроектором, ноутбуком, интерфейсом для подключения ноутбука, маркерной доской (флипчартом), а также иным оборудованием для проведения образовательных, тренинговых и иных мероприятий.</w:t>
      </w:r>
    </w:p>
    <w:p w:rsidR="009807CE" w:rsidRDefault="009807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7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7CE" w:rsidRDefault="009807C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07CE" w:rsidRDefault="009807CE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абзаца приведен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оригиналом.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CE" w:rsidRDefault="009807CE"/>
        </w:tc>
      </w:tr>
    </w:tbl>
    <w:p w:rsidR="009807CE" w:rsidRDefault="009807CE">
      <w:pPr>
        <w:pStyle w:val="ConsPlusNormal"/>
        <w:spacing w:before="280"/>
        <w:ind w:firstLine="540"/>
        <w:jc w:val="both"/>
      </w:pPr>
      <w:r>
        <w:t xml:space="preserve">11.2.3. </w:t>
      </w:r>
      <w:proofErr w:type="gramStart"/>
      <w:r>
        <w:t>Зона кухни, включающая в себя рабочую зону, стол/барную стойку, раковину моечную (возможна установка посудомоечной машины), шкаф для посуды, холодильное оборудование, микроволновую печь, посадочные места (стулья/кресла/диван); чайник; посуду (кружки, тарелки, столовые приборы), доп. оборудование для</w:t>
      </w:r>
      <w:proofErr w:type="gramEnd"/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Все оборудование, мебель, столовые приборы, указанные в настоящем Стандарте, должны находиться в рабочем состоянии в количестве, достаточном к пользованию резидентами коворкинг-центра, в зависимости от общей площади </w:t>
      </w:r>
      <w:proofErr w:type="gramStart"/>
      <w:r>
        <w:t>молодежного</w:t>
      </w:r>
      <w:proofErr w:type="gramEnd"/>
      <w:r>
        <w:t xml:space="preserve">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наличии</w:t>
      </w:r>
      <w:proofErr w:type="gramEnd"/>
      <w:r>
        <w:t xml:space="preserve"> в зоне кухни должны находиться чай/кофе/сахар, предназначенные для потребления резидентами молодежного коворкинг-центра и/или его посетителями, в достаточном количестве без взимания денежных средств. На территории молодежного коворкинг-центра не запрещено размещение иных точек питания за дополнительную плату.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12. Расчет затрат основных расходов на материально-техническое обеспечение молодежных коворкинг-центров исходя из предельных объемов бюджетных ассигнований:</w:t>
      </w:r>
    </w:p>
    <w:p w:rsidR="009807CE" w:rsidRDefault="009807C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7"/>
        <w:gridCol w:w="4535"/>
      </w:tblGrid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proofErr w:type="gramStart"/>
            <w:r>
              <w:t>Максимальная сумма расходов в рамках предоставления субсидии из областного бюджета Ленинградской области бюджетам муниципальных образований Ленинградской области на реализацию мероприятий по работе с молодежью, в том числе обеспечение деятельности открытых молодежных пространств (молодежных коворкинг-центров) (руб.)</w:t>
            </w:r>
            <w:proofErr w:type="gramEnd"/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Интерьер помещения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1700000,00</w:t>
            </w:r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Оборудование зоны коворкинга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1700000,00</w:t>
            </w:r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Оборудование переговорных комнат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700000,00</w:t>
            </w:r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Оборудование мини-офиса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450000,00</w:t>
            </w:r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Оборудование конференц-зала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600000,00</w:t>
            </w:r>
          </w:p>
        </w:tc>
      </w:tr>
      <w:tr w:rsidR="009807CE">
        <w:tc>
          <w:tcPr>
            <w:tcW w:w="510" w:type="dxa"/>
          </w:tcPr>
          <w:p w:rsidR="009807CE" w:rsidRDefault="009807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7" w:type="dxa"/>
          </w:tcPr>
          <w:p w:rsidR="009807CE" w:rsidRDefault="009807CE">
            <w:pPr>
              <w:pStyle w:val="ConsPlusNormal"/>
              <w:jc w:val="center"/>
            </w:pPr>
            <w:r>
              <w:t>Оборудование зоны кухни</w:t>
            </w:r>
          </w:p>
        </w:tc>
        <w:tc>
          <w:tcPr>
            <w:tcW w:w="4535" w:type="dxa"/>
          </w:tcPr>
          <w:p w:rsidR="009807CE" w:rsidRDefault="009807CE">
            <w:pPr>
              <w:pStyle w:val="ConsPlusNormal"/>
              <w:jc w:val="center"/>
            </w:pPr>
            <w:r>
              <w:t>550000,00</w:t>
            </w:r>
          </w:p>
        </w:tc>
      </w:tr>
    </w:tbl>
    <w:p w:rsidR="009807CE" w:rsidRDefault="009807CE">
      <w:pPr>
        <w:pStyle w:val="ConsPlusNormal"/>
      </w:pPr>
    </w:p>
    <w:p w:rsidR="009807CE" w:rsidRDefault="009807CE">
      <w:pPr>
        <w:pStyle w:val="ConsPlusNormal"/>
        <w:ind w:firstLine="540"/>
        <w:jc w:val="both"/>
      </w:pPr>
      <w:r>
        <w:t>13. Виды услуг, предоставляемые коворкинг-центром: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13.1. Базовый пакет услуг, предоставляемый всем резидентам коворкинг-центра на </w:t>
      </w:r>
      <w:r>
        <w:lastRenderedPageBreak/>
        <w:t>безвозмездной основе: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обеспечение оборудованным рабочим местом;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предоставление переговорной комнаты;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предоставление доступа к беспроводному высокоскоростному Интернету;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предоставление ящика для хранения личных вещей.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13.2. Дополнительные услуги: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организация обучающих мероприятий, конференций, семинаров, тренингов, мастер-классов и иных мероприятий;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предоставление возможности копирования и печати, поддержка в рамках услуг, предоставляемых </w:t>
      </w:r>
      <w:proofErr w:type="gramStart"/>
      <w:r>
        <w:t>молодежным</w:t>
      </w:r>
      <w:proofErr w:type="gramEnd"/>
      <w:r>
        <w:t xml:space="preserve"> коворкинг-центром;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использование конференц-зоны.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14. Стоимость дополнительных услуг, предоставляемых коворкинг-центром, устанавливается управляющей компанией </w:t>
      </w:r>
      <w:proofErr w:type="gramStart"/>
      <w:r>
        <w:t>молодежного</w:t>
      </w:r>
      <w:proofErr w:type="gramEnd"/>
      <w:r>
        <w:t xml:space="preserve">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15. Условия использования конференц-зоны определяются управляющей компанией молодежного коворкинг-центра.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16. Рекомендуемые целевые показатели результативности деятельности коворкинг-центра: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16.1. Заполняемость зоны молодежного коворкинг-центра: плановая величина заполняемости молодежного коворкинг-центра должна составлять 50% от общего количества существующих оборудованных рабочих мест.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16.2. Количество проведенных обучающих мероприятий, конференций, семинаров, тренингов, мастер-классов и иных мероприятий: плановая величина проведенных обучающих мероприятий, конференций, семинаров, тренингов, мастер-классов и иных мероприятий составляет не менее 52 мероприятий в год.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16.3. </w:t>
      </w:r>
      <w:proofErr w:type="gramStart"/>
      <w:r>
        <w:t>Количество физических лиц, общественных объединений, деятельность которых связана с реализацией государственной молодежной политики на территории Ленинградской области, и субъектов МСП (в том числе потенциальных), воспользовавшихся услугами коворкинг-центра (в разрезе видов услуг): плановая величина физических лиц, общественных объединений, деятельность которых связана с реализацией государственной молодежной политики на территории Ленинградской области, и субъектов МСП (в том числе потенциальных), воспользовавшихся услугами коворкинг-центра (в</w:t>
      </w:r>
      <w:proofErr w:type="gramEnd"/>
      <w:r>
        <w:t xml:space="preserve"> </w:t>
      </w:r>
      <w:proofErr w:type="gramStart"/>
      <w:r>
        <w:t>разрезе</w:t>
      </w:r>
      <w:proofErr w:type="gramEnd"/>
      <w:r>
        <w:t xml:space="preserve"> видов услуг), составляет не менее 50 человек/общественных объединений, субъектов малого и среднего предпринимательства в месяц.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16.4. Количество тематических публикаций по работе молодежного коворкинг-центра в СМИ, информационно-телекоммуникационной сети "Интернет" и других источниках: плановая величина тематических публикаций по работе молодежного коворкинг-центра в СМИ, информационно-телекоммуникационной сети "Интернет" и других источниках составляет не менее 52 публикаций в год.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16.5. Количество договоров/соглашений, заключенных с другими структурами, заинтересованными в формировании благоприятных условий для </w:t>
      </w:r>
      <w:proofErr w:type="gramStart"/>
      <w:r>
        <w:t>всестороннего</w:t>
      </w:r>
      <w:proofErr w:type="gramEnd"/>
      <w:r>
        <w:t xml:space="preserve"> развития молодежи, развитии общественных объединений, деятельность которых связана с реализацией государственной молодежной политики на территории Ленинградской области, а также </w:t>
      </w:r>
      <w:r>
        <w:lastRenderedPageBreak/>
        <w:t>стимулировании молодежной предпринимательской активности на территории Ленинградской области: плановая величина договоров/соглашений составляет минимум 1 в год.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16.6. Количество созданных проектных команд из числа целевой аудитории молодежного коворкинг-центра: плановая величина проектных команд составляет минимум 1 в год.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17. Создание, поддержание и развитие интернет-сайта молодежного коворкинг-центра (сети молодежных коворкинг-центров) в том числе посредством использования социальных сетей.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17.1. Основными функциями интернет-сайта являются: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регистрация и учет резидентов молодежного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централизованное оповещение и освещение мероприятий, проводимых на базе </w:t>
      </w:r>
      <w:proofErr w:type="gramStart"/>
      <w:r>
        <w:t>молодежного</w:t>
      </w:r>
      <w:proofErr w:type="gramEnd"/>
      <w:r>
        <w:t xml:space="preserve">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коммуникация внутри проектов между резидентами </w:t>
      </w:r>
      <w:proofErr w:type="gramStart"/>
      <w:r>
        <w:t>молодежного</w:t>
      </w:r>
      <w:proofErr w:type="gramEnd"/>
      <w:r>
        <w:t xml:space="preserve"> коворкинг-центра;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информирование о реализации государственной молодежной политики на территории Ленинградской области;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информирование о существующих возможностях для субъектов МСП и мерах государственной поддержки для развития предпринимательства;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информирование о существующих возможностях для некоммерческих организаций и мерах государственной поддержки.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17.2. Ключевые требования к предоставлению информации на интернет-сайте: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удобство навигации по интернет-сайту;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- поддержание ресурсов интернет-сайта в </w:t>
      </w:r>
      <w:proofErr w:type="gramStart"/>
      <w:r>
        <w:t>рабочем</w:t>
      </w:r>
      <w:proofErr w:type="gramEnd"/>
      <w:r>
        <w:t xml:space="preserve"> и актуальном состоянии;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>- доступность открытых ресурсов интернет-сайта всем целевым группам пользователей.</w:t>
      </w:r>
    </w:p>
    <w:p w:rsidR="009807CE" w:rsidRDefault="009807CE">
      <w:pPr>
        <w:pStyle w:val="ConsPlusNormal"/>
        <w:spacing w:before="220"/>
        <w:ind w:firstLine="540"/>
        <w:jc w:val="both"/>
      </w:pPr>
      <w:r>
        <w:t xml:space="preserve">17.3. Ответственность за достоверность информации, размещаемой на интернет-сайте </w:t>
      </w:r>
      <w:proofErr w:type="gramStart"/>
      <w:r>
        <w:t>молодежного</w:t>
      </w:r>
      <w:proofErr w:type="gramEnd"/>
      <w:r>
        <w:t xml:space="preserve"> коворкинг-центра, возлагается на управляющую компанию молодежного коворкинг-центра.</w:t>
      </w:r>
    </w:p>
    <w:p w:rsidR="009807CE" w:rsidRDefault="009807CE">
      <w:pPr>
        <w:pStyle w:val="ConsPlusNormal"/>
      </w:pPr>
    </w:p>
    <w:p w:rsidR="009807CE" w:rsidRDefault="009807CE">
      <w:pPr>
        <w:pStyle w:val="ConsPlusNormal"/>
      </w:pPr>
    </w:p>
    <w:p w:rsidR="009807CE" w:rsidRDefault="0098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309" w:rsidRDefault="00C30309">
      <w:bookmarkStart w:id="2" w:name="_GoBack"/>
      <w:bookmarkEnd w:id="2"/>
    </w:p>
    <w:sectPr w:rsidR="00C30309" w:rsidSect="00F5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CE"/>
    <w:rsid w:val="009807CE"/>
    <w:rsid w:val="00C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B4A6FDCE4C63D0CE2A0C13965D8E7D06343894B7FECBF944FF8594D33B2D27FED8C8D7746764F225F41292224A8CRBq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3F6AA28DB2C946D4AB4A6FDCE4C63D0C92C0F12995D8E7D06343894B7FECBF944FF8590D63B2F25FED8C8D7746764F225F41292224A8CRBq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3F6AA28DB2C946D4AB4A6FDCE4C63D0CE2A0C13965D8E7D06343894B7FECBF944FF8594D33B2D27FED8C8D7746764F225F41292224A8CRBq3H" TargetMode="External"/><Relationship Id="rId11" Type="http://schemas.openxmlformats.org/officeDocument/2006/relationships/hyperlink" Target="consultantplus://offline/ref=8FD3F6AA28DB2C946D4AABB7E8CE4C63D1C5210C1A955D8E7D06343894B7FECBEB44A78994D1252D2BEB8E9991R2q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FD3F6AA28DB2C946D4AABB7E8CE4C63D1C52E0412965D8E7D06343894B7FECBEB44A78994D1252D2BEB8E9991R2q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3F6AA28DB2C946D4AB4A6FDCE4C63D0CE2A0C13965D8E7D06343894B7FECBF944FF8594D33B2D25FED8C8D7746764F225F41292224A8CRB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ОМП</dc:creator>
  <cp:lastModifiedBy>ОМП</cp:lastModifiedBy>
  <cp:revision>1</cp:revision>
  <dcterms:created xsi:type="dcterms:W3CDTF">2021-09-02T07:42:00Z</dcterms:created>
  <dcterms:modified xsi:type="dcterms:W3CDTF">2021-09-02T07:42:00Z</dcterms:modified>
</cp:coreProperties>
</file>