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1"/>
      </w:pPr>
      <w:r>
        <w:t xml:space="preserve">Приложение 9</w:t>
      </w:r>
      <w:r/>
    </w:p>
    <w:p>
      <w:pPr>
        <w:pStyle w:val="836"/>
        <w:jc w:val="right"/>
      </w:pPr>
      <w:r>
        <w:t xml:space="preserve">к государственной программе...</w:t>
      </w:r>
      <w:r/>
    </w:p>
    <w:p>
      <w:pPr>
        <w:pStyle w:val="836"/>
        <w:jc w:val="center"/>
      </w:pPr>
      <w:r/>
      <w:r/>
    </w:p>
    <w:p>
      <w:pPr>
        <w:pStyle w:val="838"/>
        <w:jc w:val="center"/>
      </w:pPr>
      <w:r/>
      <w:bookmarkStart w:id="60" w:name="P1485"/>
      <w:r/>
      <w:bookmarkEnd w:id="60"/>
      <w:r>
        <w:t xml:space="preserve">ПОРЯДОК</w:t>
      </w:r>
      <w:r/>
    </w:p>
    <w:p>
      <w:pPr>
        <w:pStyle w:val="838"/>
        <w:jc w:val="center"/>
      </w:pPr>
      <w:r>
        <w:t xml:space="preserve">ПРЕДОСТАВЛЕНИЯ И РАСПРЕДЕЛЕНИЯ СУБСИДИИ ИЗ ОБЛАСТНОГО</w:t>
      </w:r>
      <w:r/>
    </w:p>
    <w:p>
      <w:pPr>
        <w:pStyle w:val="838"/>
        <w:jc w:val="center"/>
      </w:pPr>
      <w:r>
        <w:t xml:space="preserve">БЮДЖЕТА ЛЕНИНГРАДСКОЙ ОБЛАСТИ БЮДЖЕТАМ МУНИЦИПАЛЬНЫХ</w:t>
      </w:r>
      <w:r/>
    </w:p>
    <w:p>
      <w:pPr>
        <w:pStyle w:val="838"/>
        <w:jc w:val="center"/>
      </w:pPr>
      <w:r>
        <w:t xml:space="preserve">ОБРАЗОВАНИЙ ЛЕНИНГРАДСКОЙ ОБЛАСТИ НА ПОДДЕРЖКУ</w:t>
      </w:r>
      <w:r/>
    </w:p>
    <w:p>
      <w:pPr>
        <w:pStyle w:val="838"/>
        <w:jc w:val="center"/>
      </w:pPr>
      <w:r>
        <w:t xml:space="preserve">ПРОЕКТОВ ШКОЛЬНОГО ИНИЦИАТИВНОГО БЮДЖЕТИРОВАНИЯ</w:t>
      </w:r>
      <w:r/>
    </w:p>
    <w:p>
      <w:pPr>
        <w:pStyle w:val="83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8" w:tooltip="https://login.consultant.ru/link/?req=doc&amp;base=SPB&amp;n=321695&amp;dst=100013" w:history="1">
              <w:r>
                <w:rPr>
                  <w:color w:val="0000ff"/>
                </w:rPr>
                <w:t xml:space="preserve"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от 12.12.2025 N 1054)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center"/>
      </w:pPr>
      <w:r/>
      <w:r/>
    </w:p>
    <w:p>
      <w:pPr>
        <w:pStyle w:val="838"/>
        <w:jc w:val="center"/>
        <w:outlineLvl w:val="2"/>
      </w:pPr>
      <w:r>
        <w:t xml:space="preserve">1. Общие положения</w:t>
      </w:r>
      <w:r/>
    </w:p>
    <w:p>
      <w:pPr>
        <w:pStyle w:val="836"/>
        <w:jc w:val="center"/>
      </w:pPr>
      <w:r/>
      <w:r/>
    </w:p>
    <w:p>
      <w:pPr>
        <w:pStyle w:val="836"/>
        <w:ind w:firstLine="540"/>
        <w:jc w:val="both"/>
      </w:pPr>
      <w:r>
        <w:t xml:space="preserve">1.1. Настоящий Порядок устанавливает цели, условия и порядок предоставления и распределения субсидии из областного бюджета Ленинградской области </w:t>
      </w:r>
      <w:r>
        <w:t xml:space="preserve">(далее также - областной бюджет) бюджетам муниципальных образований Ленинградской области на поддержку проектов школьного инициативного бюджетирования в рамках регионального проекта "Россия - страна возможностей (Ленинградская область)" (далее - субсидия).</w:t>
      </w:r>
      <w:r/>
    </w:p>
    <w:p>
      <w:pPr>
        <w:pStyle w:val="836"/>
        <w:ind w:firstLine="540"/>
        <w:jc w:val="both"/>
        <w:spacing w:before="220"/>
      </w:pPr>
      <w:r>
        <w:t xml:space="preserve">1.2. Субс</w:t>
      </w:r>
      <w:r>
        <w:t xml:space="preserve">идия предоставляется в рамках комплекса процессных мероприятий "Создание условий и возможностей для успешной социализации и самореализации молодежи" государственной программы Ленинградской области "Устойчивое общественное развитие в Ленинградской области".</w:t>
      </w:r>
      <w:r/>
    </w:p>
    <w:p>
      <w:pPr>
        <w:pStyle w:val="836"/>
        <w:ind w:firstLine="540"/>
        <w:jc w:val="both"/>
        <w:spacing w:before="220"/>
      </w:pPr>
      <w:r>
        <w:t xml:space="preserve">1.3. Субсидия предоставляется на софинансирование расходных обязательств муниципальных образований Ленинградской области (далее также - муниципальные образования), возникших при осуществлении полномочий органов местного само</w:t>
      </w:r>
      <w:r>
        <w:t xml:space="preserve">управления поселений, муниципальных районов, муниципального округа, городского округа по вопросам местного значения - организация и осуществление мероприятий по работе с детьми и молодежью, участие в реализации молодежной политики, разработка и реализация </w:t>
      </w:r>
      <w:r>
        <w:t xml:space="preserve">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соответствии с </w:t>
      </w:r>
      <w:hyperlink r:id="rId9" w:tooltip="https://login.consultant.ru/link/?req=doc&amp;base=LAW&amp;n=501480&amp;dst=1079" w:history="1">
        <w:r>
          <w:rPr>
            <w:color w:val="0000ff"/>
          </w:rPr>
          <w:t xml:space="preserve">пунктом 30 части 1 статьи 14</w:t>
        </w:r>
      </w:hyperlink>
      <w:r>
        <w:t xml:space="preserve">, </w:t>
      </w:r>
      <w:hyperlink r:id="rId10" w:tooltip="https://login.consultant.ru/link/?req=doc&amp;base=LAW&amp;n=501480&amp;dst=1080" w:history="1">
        <w:r>
          <w:rPr>
            <w:color w:val="0000ff"/>
          </w:rPr>
          <w:t xml:space="preserve">пунктом 27 части 1 статьи 15</w:t>
        </w:r>
      </w:hyperlink>
      <w:r>
        <w:t xml:space="preserve">, </w:t>
      </w:r>
      <w:hyperlink r:id="rId11" w:tooltip="https://login.consultant.ru/link/?req=doc&amp;base=LAW&amp;n=501480&amp;dst=1081" w:history="1">
        <w:r>
          <w:rPr>
            <w:color w:val="0000ff"/>
          </w:rPr>
          <w:t xml:space="preserve">пунктом 34 части 1 статьи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r/>
    </w:p>
    <w:p>
      <w:pPr>
        <w:pStyle w:val="836"/>
        <w:ind w:firstLine="540"/>
        <w:jc w:val="both"/>
        <w:spacing w:before="220"/>
      </w:pPr>
      <w:r>
        <w:t xml:space="preserve">1.4. Понятия, используемые в настоящем Порядке:</w:t>
      </w:r>
      <w:r/>
    </w:p>
    <w:p>
      <w:pPr>
        <w:pStyle w:val="836"/>
        <w:ind w:firstLine="540"/>
        <w:jc w:val="both"/>
        <w:spacing w:before="220"/>
      </w:pPr>
      <w:r>
        <w:t xml:space="preserve">конкурсный отбор </w:t>
      </w:r>
      <w:r>
        <w:t xml:space="preserve">- отбор получателей субсидии среди участников отбора, осуществляемый региональной экспертной комиссией на основе установленных настоящим Порядком условий предоставления и распределения субсидии на реализацию проектов школьного инициативного бюджетирования;</w:t>
      </w:r>
      <w:r/>
    </w:p>
    <w:p>
      <w:pPr>
        <w:pStyle w:val="836"/>
        <w:ind w:firstLine="540"/>
        <w:jc w:val="both"/>
        <w:spacing w:before="220"/>
      </w:pPr>
      <w:r>
        <w:t xml:space="preserve">уполномоченное лицо организатора - представитель комитета по молодежной политике </w:t>
      </w:r>
      <w:r>
        <w:t xml:space="preserve">Ленинградской области, уполномоченный на прием и регистрацию заявок и документов на предоставление субсидии на поддержку проектов школьного инициативного бюджетирования;</w:t>
      </w:r>
      <w:r/>
    </w:p>
    <w:p>
      <w:pPr>
        <w:pStyle w:val="836"/>
        <w:ind w:firstLine="540"/>
        <w:jc w:val="both"/>
        <w:spacing w:before="220"/>
      </w:pPr>
      <w:r>
        <w:t xml:space="preserve">участник конкурсного отбора - администрация муниципального образования Ленинградской области, претендующая на получение субсидии и участвующая в конкурсном отборе в соответствии с настоящим Порядком;</w:t>
      </w:r>
      <w:r/>
    </w:p>
    <w:p>
      <w:pPr>
        <w:pStyle w:val="836"/>
        <w:ind w:firstLine="540"/>
        <w:jc w:val="both"/>
        <w:spacing w:before="220"/>
      </w:pPr>
      <w:r>
        <w:t xml:space="preserve">региональная экспертн</w:t>
      </w:r>
      <w:r>
        <w:t xml:space="preserve">ая комиссия - комиссия, формируемая комитетом по молодежной политике Ленинградской области для рассмотрения и оценки заявок на участие в конкурсном отборе участников конкурсного отбора из числа администраций муниципальных образований Ленинградской области;</w:t>
      </w:r>
      <w:r/>
    </w:p>
    <w:p>
      <w:pPr>
        <w:pStyle w:val="836"/>
        <w:ind w:firstLine="540"/>
        <w:jc w:val="both"/>
        <w:spacing w:before="220"/>
      </w:pPr>
      <w:r>
        <w:t xml:space="preserve">муниципальная экспертная комиссия - комиссия, формируемая администрацией муниципального образования Ленинградской области для проведения экспертизы и утверждения реестра проектов, пл</w:t>
      </w:r>
      <w:r>
        <w:t xml:space="preserve">анируемых к реализации на территории общеобразовательных организаций соответствующего муниципального образования Ленинградской области, в порядке, установленном правовым актом администрации соответствующего муниципального образования Ленинградской области;</w:t>
      </w:r>
      <w:r/>
    </w:p>
    <w:p>
      <w:pPr>
        <w:pStyle w:val="836"/>
        <w:ind w:firstLine="540"/>
        <w:jc w:val="both"/>
        <w:spacing w:before="220"/>
      </w:pPr>
      <w:r>
        <w:t xml:space="preserve">получатель субсидии - участник конкурсного отбора, в отношении которого региональной экспертной комиссией принято решение о предоставлении субсидии;</w:t>
      </w:r>
      <w:r/>
    </w:p>
    <w:p>
      <w:pPr>
        <w:pStyle w:val="836"/>
        <w:ind w:firstLine="540"/>
        <w:jc w:val="both"/>
        <w:spacing w:before="220"/>
      </w:pPr>
      <w:r>
        <w:t xml:space="preserve">общеобразовательная организа</w:t>
      </w:r>
      <w:r>
        <w:t xml:space="preserve">ция - бюджетная муниципальная образовательная организация Ленинградской области, основной целью деятельности которой является образовательная деятельность по образовательным программам начального общего, основного общего и(или) среднего общего образования.</w:t>
      </w:r>
      <w:r/>
    </w:p>
    <w:p>
      <w:pPr>
        <w:pStyle w:val="836"/>
        <w:ind w:firstLine="540"/>
        <w:jc w:val="both"/>
        <w:spacing w:before="220"/>
      </w:pPr>
      <w: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</w:t>
      </w:r>
      <w:r/>
    </w:p>
    <w:p>
      <w:pPr>
        <w:pStyle w:val="836"/>
        <w:ind w:firstLine="540"/>
        <w:jc w:val="both"/>
        <w:spacing w:before="220"/>
      </w:pPr>
      <w:r>
        <w:t xml:space="preserve">1.5. Предоставление субсидии осуществляется в соответствии со сводной бюджетной росписью областного бюджета Ленинградской области на очередной (текущий) финансовый год и</w:t>
      </w:r>
      <w:r>
        <w:t xml:space="preserve">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молодежной политике Ленинградской области (далее - Комитет, организатор).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>
        <w:t xml:space="preserve">2. Цели и условия предоставления субсидии</w:t>
      </w:r>
      <w:r/>
    </w:p>
    <w:p>
      <w:pPr>
        <w:pStyle w:val="836"/>
        <w:jc w:val="center"/>
      </w:pPr>
      <w:r/>
      <w:r/>
    </w:p>
    <w:p>
      <w:pPr>
        <w:pStyle w:val="836"/>
        <w:ind w:firstLine="540"/>
        <w:jc w:val="both"/>
      </w:pPr>
      <w:r>
        <w:t xml:space="preserve">2.1. Целью предоставления субсидии является повышение социальной активности молодежи, поддер</w:t>
      </w:r>
      <w:r>
        <w:t xml:space="preserve">жка молодежных инициатив, вовлечение обучающихся общеобразовательных организаций в принятие бюджетных решений, способствующих развитию инфраструктуры путем софинансирования реализации проектов школьного инициативного бюджетирования (далее также - проекты).</w:t>
      </w:r>
      <w:r/>
    </w:p>
    <w:p>
      <w:pPr>
        <w:pStyle w:val="836"/>
        <w:ind w:firstLine="540"/>
        <w:jc w:val="both"/>
        <w:spacing w:before="220"/>
      </w:pPr>
      <w:r>
        <w:t xml:space="preserve">2.2. Результатом использования субсидии является реализация в отчетном году проектов школьного инициативного бюджетирования.</w:t>
      </w:r>
      <w:r/>
    </w:p>
    <w:p>
      <w:pPr>
        <w:pStyle w:val="836"/>
        <w:ind w:firstLine="540"/>
        <w:jc w:val="both"/>
        <w:spacing w:before="220"/>
      </w:pPr>
      <w:r>
        <w:t xml:space="preserve">Значения результата испол</w:t>
      </w:r>
      <w:r>
        <w:t xml:space="preserve">ьзования субсидии определяются в соответствии с заявкой муниципального образования и устанавливаются в соглашении о предоставлении субсидии, заключаемом между Комитетом и администрацией муниципального образования Ленинградской области (далее - соглашение).</w:t>
      </w:r>
      <w:r/>
    </w:p>
    <w:p>
      <w:pPr>
        <w:pStyle w:val="836"/>
        <w:ind w:firstLine="540"/>
        <w:jc w:val="both"/>
        <w:spacing w:before="220"/>
      </w:pPr>
      <w:r>
        <w:t xml:space="preserve">2.3. Условия предоставления субсидии устанавливаются в соответствии с </w:t>
      </w:r>
      <w:hyperlink r:id="rId12" w:tooltip="https://login.consultant.ru/link/?req=doc&amp;base=SPB&amp;n=308870&amp;dst=100449" w:history="1">
        <w:r>
          <w:rPr>
            <w:color w:val="0000ff"/>
          </w:rPr>
          <w:t xml:space="preserve"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/>
      <w:bookmarkStart w:id="61" w:name="P1517"/>
      <w:r/>
      <w:bookmarkEnd w:id="61"/>
      <w:r>
        <w:t xml:space="preserve">3. Порядок проведения ежегодного отбора муниципальных</w:t>
      </w:r>
      <w:r/>
    </w:p>
    <w:p>
      <w:pPr>
        <w:pStyle w:val="838"/>
        <w:jc w:val="center"/>
      </w:pPr>
      <w:r>
        <w:t xml:space="preserve">образований для предоставления субсидии</w:t>
      </w:r>
      <w:r/>
    </w:p>
    <w:p>
      <w:pPr>
        <w:pStyle w:val="836"/>
        <w:jc w:val="center"/>
      </w:pPr>
      <w:r/>
      <w:r/>
    </w:p>
    <w:p>
      <w:pPr>
        <w:pStyle w:val="836"/>
        <w:ind w:firstLine="540"/>
        <w:jc w:val="both"/>
      </w:pPr>
      <w:r>
        <w:t xml:space="preserve">3.1. Конкурсный отбор муниципальных образований для предоставления субсидии на реализацию проектов школьного инициативного бюджетирования проводи</w:t>
      </w:r>
      <w:r>
        <w:t xml:space="preserve">тся в целях вовлечения обучающихся общеобразовательных организаций Ленинградской области в принятие бюджетных решений, способствующих развитию созидательной активности обучающихся и инфраструктуры общеобразовательных организаций (далее - конкурсный отбор).</w:t>
      </w:r>
      <w:r/>
    </w:p>
    <w:p>
      <w:pPr>
        <w:pStyle w:val="836"/>
        <w:ind w:firstLine="540"/>
        <w:jc w:val="both"/>
        <w:spacing w:before="220"/>
      </w:pPr>
      <w:r>
        <w:t xml:space="preserve">Задачами конкурсного отбора являются вовлечение обучающихся общеобразовательных организаций в возрасте от 14 до 18 лет в решение вопросов местного значения, повышение бюджетной грамотности и гражданской активности молодежи.</w:t>
      </w:r>
      <w:r/>
    </w:p>
    <w:p>
      <w:pPr>
        <w:pStyle w:val="836"/>
        <w:ind w:firstLine="540"/>
        <w:jc w:val="both"/>
        <w:spacing w:before="220"/>
      </w:pPr>
      <w:r/>
      <w:bookmarkStart w:id="62" w:name="P1522"/>
      <w:r/>
      <w:bookmarkEnd w:id="62"/>
      <w:r>
        <w:t xml:space="preserve">3.2. К конкурсному отбору допускаются заявки муниципальных образований, содержащие проекты, направленные на решение вопросов общеобразовательной организации (далее - заявки), по следующим направлениям:</w:t>
      </w:r>
      <w:r/>
    </w:p>
    <w:p>
      <w:pPr>
        <w:pStyle w:val="836"/>
        <w:ind w:firstLine="540"/>
        <w:jc w:val="both"/>
        <w:spacing w:before="220"/>
      </w:pPr>
      <w:r>
        <w:t xml:space="preserve">1) благоустройство территории общеобразовательной организации, молодежных и общественных пространств для досуга молодежи на территории общеобразовательной организации;</w:t>
      </w:r>
      <w:r/>
    </w:p>
    <w:p>
      <w:pPr>
        <w:pStyle w:val="836"/>
        <w:ind w:firstLine="540"/>
        <w:jc w:val="both"/>
        <w:spacing w:before="220"/>
      </w:pPr>
      <w:r>
        <w:t xml:space="preserve">2) организация социально значимых и событийных мероприятии, в том числе приуроченных к памятным датам, проводимых учащимися общеобразовательных организаций;</w:t>
      </w:r>
      <w:r/>
    </w:p>
    <w:p>
      <w:pPr>
        <w:pStyle w:val="836"/>
        <w:ind w:firstLine="540"/>
        <w:jc w:val="both"/>
        <w:spacing w:before="220"/>
      </w:pPr>
      <w:r>
        <w:t xml:space="preserve">3) запуск образовательных и профориентационных программ на базе общеобразовательной организации;</w:t>
      </w:r>
      <w:r/>
    </w:p>
    <w:p>
      <w:pPr>
        <w:pStyle w:val="836"/>
        <w:ind w:firstLine="540"/>
        <w:jc w:val="both"/>
        <w:spacing w:before="220"/>
      </w:pPr>
      <w:r>
        <w:t xml:space="preserve">4) реализация цифровых и IT-инициатив, в том числе проектов в сфере цифровой грамотности, программирования, кибербезопасности и искусственного интеллекта на базе общеобразовательной организации.</w:t>
      </w:r>
      <w:r/>
    </w:p>
    <w:p>
      <w:pPr>
        <w:pStyle w:val="836"/>
        <w:ind w:firstLine="540"/>
        <w:jc w:val="both"/>
        <w:spacing w:before="220"/>
      </w:pPr>
      <w:r>
        <w:t xml:space="preserve">3.3. Не допускается направление средств на:</w:t>
      </w:r>
      <w:r/>
    </w:p>
    <w:p>
      <w:pPr>
        <w:pStyle w:val="836"/>
        <w:ind w:firstLine="540"/>
        <w:jc w:val="both"/>
        <w:spacing w:before="220"/>
      </w:pPr>
      <w:r>
        <w:t xml:space="preserve">1) проведение текущего и капитального ремонта административно-хозяйственных помещении общеобразовательной организации;</w:t>
      </w:r>
      <w:r/>
    </w:p>
    <w:p>
      <w:pPr>
        <w:pStyle w:val="836"/>
        <w:ind w:firstLine="540"/>
        <w:jc w:val="both"/>
        <w:spacing w:before="220"/>
      </w:pPr>
      <w:r>
        <w:t xml:space="preserve">2) содержание работников общеобразовательных организации, в том числе заработную плату и премирование работников.</w:t>
      </w:r>
      <w:r/>
    </w:p>
    <w:p>
      <w:pPr>
        <w:pStyle w:val="836"/>
        <w:ind w:firstLine="540"/>
        <w:jc w:val="both"/>
        <w:spacing w:before="220"/>
      </w:pPr>
      <w:r/>
      <w:bookmarkStart w:id="63" w:name="P1530"/>
      <w:r/>
      <w:bookmarkEnd w:id="63"/>
      <w:r>
        <w:t xml:space="preserve">3.4. К конкурсному отбору допускаются заявки, содержащие проекты со сроком реализации до 31 декабря года, следующего за годом проведения отбора.</w:t>
      </w:r>
      <w:r/>
    </w:p>
    <w:p>
      <w:pPr>
        <w:pStyle w:val="836"/>
        <w:ind w:firstLine="540"/>
        <w:jc w:val="both"/>
        <w:spacing w:before="220"/>
      </w:pPr>
      <w:r>
        <w:t xml:space="preserve">3.5. Для формирования и под</w:t>
      </w:r>
      <w:r>
        <w:t xml:space="preserve">ачи заявок на конкурсный отбор администрации муниципальных образований на территории соответствующего муниципального образования проводят отбор проектов в порядке, установленном муниципальным правовым актом, предусматривающим (далее - муниципальный отбор):</w:t>
      </w:r>
      <w:r/>
    </w:p>
    <w:p>
      <w:pPr>
        <w:pStyle w:val="836"/>
        <w:ind w:firstLine="540"/>
        <w:jc w:val="both"/>
        <w:spacing w:before="220"/>
      </w:pPr>
      <w:r>
        <w:t xml:space="preserve">1)</w:t>
      </w:r>
      <w:r>
        <w:t xml:space="preserve"> выдвижение проектов путем проводимого общеобразовательной организацией голосования общеобразовательной организации за представленные проекты группами обучающихся, состоящими из учеников 8-11 классов и численностью не менее шести человек (далее - команда);</w:t>
      </w:r>
      <w:r/>
    </w:p>
    <w:p>
      <w:pPr>
        <w:pStyle w:val="836"/>
        <w:ind w:firstLine="540"/>
        <w:jc w:val="both"/>
        <w:spacing w:before="220"/>
      </w:pPr>
      <w:r>
        <w:t xml:space="preserve">2) проведение экспертизы и утверждение муниципальной экспертной комиссией реестра проектов, планируемых к реализации на территории общеобразовательных организаций соответствующего муниципального образования;</w:t>
      </w:r>
      <w:r/>
    </w:p>
    <w:p>
      <w:pPr>
        <w:pStyle w:val="836"/>
        <w:ind w:firstLine="540"/>
        <w:jc w:val="both"/>
        <w:spacing w:before="220"/>
      </w:pPr>
      <w:r>
        <w:t xml:space="preserve">3.6. Администрации муниципальных образований направляют заявки и документы на предоставление субсидии на поддержку проектов, прошедших муниципальный отбор, организатору (далее - заявки и документы).</w:t>
      </w:r>
      <w:r/>
    </w:p>
    <w:p>
      <w:pPr>
        <w:pStyle w:val="836"/>
        <w:ind w:firstLine="540"/>
        <w:jc w:val="both"/>
        <w:spacing w:before="220"/>
      </w:pPr>
      <w:r>
        <w:t xml:space="preserve">В заявку муниципального образования включается не более одного проекта общеобразовательной организации. Количество заявок от одного муниципального образования не ограничено.</w:t>
      </w:r>
      <w:r/>
    </w:p>
    <w:p>
      <w:pPr>
        <w:pStyle w:val="836"/>
        <w:ind w:firstLine="540"/>
        <w:jc w:val="both"/>
        <w:spacing w:before="220"/>
      </w:pPr>
      <w:r>
        <w:t xml:space="preserve">3.7. Критерием конкурсного отбора муниципальных образований является наличие в заявке проекта, соответствующего требованиям </w:t>
      </w:r>
      <w:hyperlink w:tooltip="#P1522" w:anchor="P1522" w:history="1">
        <w:r>
          <w:rPr>
            <w:color w:val="0000ff"/>
          </w:rPr>
          <w:t xml:space="preserve">пункта 3.2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  <w:spacing w:before="220"/>
      </w:pPr>
      <w:r>
        <w:t xml:space="preserve">3.8. Рассмотрение, формирование и утверждение сводного перечня проектов, содержащихся в заявках муниципальных образований, осуществляются региональной экспертной комиссией, состав и положение о которой утверждаются правовым актом Комитета.</w:t>
      </w:r>
      <w:r/>
    </w:p>
    <w:p>
      <w:pPr>
        <w:pStyle w:val="836"/>
        <w:ind w:firstLine="540"/>
        <w:jc w:val="both"/>
        <w:spacing w:before="220"/>
      </w:pPr>
      <w:r>
        <w:t xml:space="preserve">Р</w:t>
      </w:r>
      <w:r>
        <w:t xml:space="preserve">егиональная экспертная комиссия не позднее 15 рабочих дней со дня окончания приема заявок рассматривает сводный перечень проектов и по результатам рассмотрения утверждает сводный перечень проектов на основании раздела 4 (Методика распределения субсидии) и </w:t>
      </w:r>
      <w:hyperlink w:tooltip="#P1907" w:anchor="P1907" w:history="1">
        <w:r>
          <w:rPr>
            <w:color w:val="0000ff"/>
          </w:rPr>
          <w:t xml:space="preserve">приложения 3</w:t>
        </w:r>
      </w:hyperlink>
      <w:r>
        <w:t xml:space="preserve"> к настоящему Порядку и готовит предложение о распределении в текущем финансовом году субсидии на финансирование проектов, включенных в сво</w:t>
      </w:r>
      <w:r>
        <w:t xml:space="preserve">дный перечень проектов, в пределах бюджетных ассигнований, предусмотренных областным законом об областном бюджете Ленинградской области на соответствующий финансовый год и на плановый период на указанные цели (далее - предложение о распределении субсидии).</w:t>
      </w:r>
      <w:r/>
    </w:p>
    <w:p>
      <w:pPr>
        <w:pStyle w:val="836"/>
        <w:ind w:firstLine="540"/>
        <w:jc w:val="both"/>
        <w:spacing w:before="220"/>
      </w:pPr>
      <w:r>
        <w:t xml:space="preserve">3.9. Победителями конкурсного отбора признаются муниципальные образования, проекты в заявках которых набрали наибольшее количество баллов по итогам оценки, проведенной региональной экспертной комиссией в соответствии с </w:t>
      </w:r>
      <w:hyperlink w:tooltip="#P1907" w:anchor="P1907" w:history="1">
        <w:r>
          <w:rPr>
            <w:color w:val="0000ff"/>
          </w:rPr>
          <w:t xml:space="preserve">приложением 3</w:t>
        </w:r>
      </w:hyperlink>
      <w:r>
        <w:t xml:space="preserve"> к настоящему Порядку. Количество победителей определяется исходя из объема бюджетных ассигнований, предусмотренных на софинансирование соответствующего расходного обязательства.</w:t>
      </w:r>
      <w:r/>
    </w:p>
    <w:p>
      <w:pPr>
        <w:pStyle w:val="836"/>
        <w:ind w:firstLine="540"/>
        <w:jc w:val="both"/>
        <w:spacing w:before="220"/>
      </w:pPr>
      <w:r>
        <w:t xml:space="preserve">3.10. Организатор осуществляет:</w:t>
      </w:r>
      <w:r/>
    </w:p>
    <w:p>
      <w:pPr>
        <w:pStyle w:val="836"/>
        <w:ind w:firstLine="540"/>
        <w:jc w:val="both"/>
        <w:spacing w:before="220"/>
      </w:pPr>
      <w:r>
        <w:t xml:space="preserve">1) размещение на официальном сайте Комитета в информационно-телекоммуникационной сети "Интернет" (далее - официальный сайт) извещения о начале и окончании приема заявок и документов (далее - извещение);</w:t>
      </w:r>
      <w:r/>
    </w:p>
    <w:p>
      <w:pPr>
        <w:pStyle w:val="836"/>
        <w:ind w:firstLine="540"/>
        <w:jc w:val="both"/>
        <w:spacing w:before="220"/>
      </w:pPr>
      <w:r>
        <w:t xml:space="preserve">2) прием и регистрацию заявок и документов в течение 15 рабочих дней со дня размещения на официальном сайте извещения;</w:t>
      </w:r>
      <w:r/>
    </w:p>
    <w:p>
      <w:pPr>
        <w:pStyle w:val="836"/>
        <w:ind w:firstLine="540"/>
        <w:jc w:val="both"/>
        <w:spacing w:before="220"/>
      </w:pPr>
      <w:r>
        <w:t xml:space="preserve">3) назначение даты заседания региональной экспертной комиссии не позднее 15 рабочих дней со дня окончания приема заявок и документов;</w:t>
      </w:r>
      <w:r/>
    </w:p>
    <w:p>
      <w:pPr>
        <w:pStyle w:val="836"/>
        <w:ind w:firstLine="540"/>
        <w:jc w:val="both"/>
        <w:spacing w:before="220"/>
      </w:pPr>
      <w:r>
        <w:t xml:space="preserve">4) ведение реестра представленных заявок и документов;</w:t>
      </w:r>
      <w:r/>
    </w:p>
    <w:p>
      <w:pPr>
        <w:pStyle w:val="836"/>
        <w:ind w:firstLine="540"/>
        <w:jc w:val="both"/>
        <w:spacing w:before="220"/>
      </w:pPr>
      <w:r>
        <w:t xml:space="preserve">5) учет и хранение представленных заявок и документов;</w:t>
      </w:r>
      <w:r/>
    </w:p>
    <w:p>
      <w:pPr>
        <w:pStyle w:val="836"/>
        <w:ind w:firstLine="540"/>
        <w:jc w:val="both"/>
        <w:spacing w:before="220"/>
      </w:pPr>
      <w:r>
        <w:t xml:space="preserve">6) организацию размещения на официальном сайте организатора информационного сообщения о результатах заседания региональной экспертной комиссии на основании протокола заседания региональной экспертной комиссии;</w:t>
      </w:r>
      <w:r/>
    </w:p>
    <w:p>
      <w:pPr>
        <w:pStyle w:val="836"/>
        <w:ind w:firstLine="540"/>
        <w:jc w:val="both"/>
        <w:spacing w:before="220"/>
      </w:pPr>
      <w:r>
        <w:t xml:space="preserve">7) оказание методической и консультативной поддержки администрациям муниципальных образований.</w:t>
      </w:r>
      <w:r/>
    </w:p>
    <w:p>
      <w:pPr>
        <w:pStyle w:val="836"/>
        <w:ind w:firstLine="540"/>
        <w:jc w:val="both"/>
        <w:spacing w:before="220"/>
      </w:pPr>
      <w:r>
        <w:t xml:space="preserve">3.11. Извещение о начале приема заявок и документов должно содержать следующие сведения:</w:t>
      </w:r>
      <w:r/>
    </w:p>
    <w:p>
      <w:pPr>
        <w:pStyle w:val="836"/>
        <w:ind w:firstLine="540"/>
        <w:jc w:val="both"/>
        <w:spacing w:before="220"/>
      </w:pPr>
      <w:r>
        <w:t xml:space="preserve">1) контактные данные организатора, в том числе наименование, адрес места нахождения, телефон, адрес электронной почты;</w:t>
      </w:r>
      <w:r/>
    </w:p>
    <w:p>
      <w:pPr>
        <w:pStyle w:val="836"/>
        <w:ind w:firstLine="540"/>
        <w:jc w:val="both"/>
        <w:spacing w:before="220"/>
      </w:pPr>
      <w:r>
        <w:t xml:space="preserve">2) место, дату и время начала, а также дату и время окончания приема заявок и документов;</w:t>
      </w:r>
      <w:r/>
    </w:p>
    <w:p>
      <w:pPr>
        <w:pStyle w:val="836"/>
        <w:ind w:firstLine="540"/>
        <w:jc w:val="both"/>
        <w:spacing w:before="220"/>
      </w:pPr>
      <w:r/>
      <w:bookmarkStart w:id="64" w:name="P1551"/>
      <w:r/>
      <w:bookmarkEnd w:id="64"/>
      <w:r>
        <w:t xml:space="preserve">3) форму </w:t>
      </w:r>
      <w:hyperlink w:tooltip="#P1614" w:anchor="P1614" w:history="1">
        <w:r>
          <w:rPr>
            <w:color w:val="0000ff"/>
          </w:rPr>
          <w:t xml:space="preserve">заявки</w:t>
        </w:r>
      </w:hyperlink>
      <w:r>
        <w:t xml:space="preserve"> согласно приложению 1 к настоящему Порядку, </w:t>
      </w:r>
      <w:hyperlink w:tooltip="#P1886" w:anchor="P1886" w:history="1">
        <w:r>
          <w:rPr>
            <w:color w:val="0000ff"/>
          </w:rPr>
          <w:t xml:space="preserve">перечень</w:t>
        </w:r>
      </w:hyperlink>
      <w:r>
        <w:t xml:space="preserve"> документов согласно приложению 2 к настоящему Порядку, а также требования к их оформлению, установленные </w:t>
      </w:r>
      <w:hyperlink w:tooltip="#P1552" w:anchor="P1552" w:history="1">
        <w:r>
          <w:rPr>
            <w:color w:val="0000ff"/>
          </w:rPr>
          <w:t xml:space="preserve">пунктом 3.12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  <w:spacing w:before="220"/>
      </w:pPr>
      <w:r/>
      <w:bookmarkStart w:id="65" w:name="P1552"/>
      <w:r/>
      <w:bookmarkEnd w:id="65"/>
      <w:r>
        <w:t xml:space="preserve">3.12. Заявка и документы, оформленные в соответствии с </w:t>
      </w:r>
      <w:hyperlink w:tooltip="#P1551" w:anchor="P1551" w:history="1">
        <w:r>
          <w:rPr>
            <w:color w:val="0000ff"/>
          </w:rPr>
          <w:t xml:space="preserve">подпунктом 3 пункта 3.11</w:t>
        </w:r>
      </w:hyperlink>
      <w:r>
        <w:t xml:space="preserve"> настоящего Порядка, направляются администрацией муниципального образования в адрес организатора в системе электронного документоо</w:t>
      </w:r>
      <w:r>
        <w:t xml:space="preserve">борота Ленинградской области, а также в прошитом, пронумерованном и скрепленном печатью администрации муниципального образования виде на бумажном носителе нарочным. В представленных документах не должны содержаться подчистки, приписки и другие исправления.</w:t>
      </w:r>
      <w:r/>
    </w:p>
    <w:p>
      <w:pPr>
        <w:pStyle w:val="836"/>
        <w:ind w:firstLine="540"/>
        <w:jc w:val="both"/>
        <w:spacing w:before="220"/>
      </w:pPr>
      <w:r/>
      <w:bookmarkStart w:id="66" w:name="P1553"/>
      <w:r/>
      <w:bookmarkEnd w:id="66"/>
      <w:r>
        <w:t xml:space="preserve">3.13. Заявка и документы представляются администрацией муниципального образования организатору в срок, указанный в извещении.</w:t>
      </w:r>
      <w:r/>
    </w:p>
    <w:p>
      <w:pPr>
        <w:pStyle w:val="836"/>
        <w:ind w:firstLine="540"/>
        <w:jc w:val="both"/>
        <w:spacing w:before="220"/>
      </w:pPr>
      <w:r>
        <w:t xml:space="preserve">Администрация муниципального образования несет ответственность за полноту и достоверность представляемых ею организатору документов и информации в соответствии с законодательством Российской Федерации.</w:t>
      </w:r>
      <w:r/>
    </w:p>
    <w:p>
      <w:pPr>
        <w:pStyle w:val="836"/>
        <w:ind w:firstLine="540"/>
        <w:jc w:val="both"/>
        <w:spacing w:before="220"/>
      </w:pPr>
      <w:r>
        <w:t xml:space="preserve">Заявка и документы подписываются главой адми</w:t>
      </w:r>
      <w:r>
        <w:t xml:space="preserve">нистрации соответствующего муниципального образования или представителем администрации соответствующего муниципального образования при подтверждении полномочий доверенностью, выданной в установленном порядке главой администрации муниципального образования.</w:t>
      </w:r>
      <w:r/>
    </w:p>
    <w:p>
      <w:pPr>
        <w:pStyle w:val="836"/>
        <w:ind w:firstLine="540"/>
        <w:jc w:val="both"/>
        <w:spacing w:before="220"/>
      </w:pPr>
      <w:r>
        <w:t xml:space="preserve">3.14. Администрация муниципального образования имеет право отозвать представленные организатору заявку и документы, сообщив об этом в письменной форме организатору до даты окончания срока приема заявок и документов, указанной в извещении.</w:t>
      </w:r>
      <w:r/>
    </w:p>
    <w:p>
      <w:pPr>
        <w:pStyle w:val="836"/>
        <w:ind w:firstLine="540"/>
        <w:jc w:val="both"/>
        <w:spacing w:before="220"/>
      </w:pPr>
      <w:r>
        <w:t xml:space="preserve">3.15. При поступлении заявки и документ</w:t>
      </w:r>
      <w:r>
        <w:t xml:space="preserve">ов уполномоченное лицо организатора, осуществляющее прием и регистрацию заявок и документов (далее - уполномоченное лицо), в течение пяти рабочих дней со дня передачи заявки и документов организатору проверяет их на соответствие требованиям, установленным </w:t>
      </w:r>
      <w:hyperlink w:tooltip="#P1553" w:anchor="P1553" w:history="1">
        <w:r>
          <w:rPr>
            <w:color w:val="0000ff"/>
          </w:rPr>
          <w:t xml:space="preserve">пунктом 3.13</w:t>
        </w:r>
      </w:hyperlink>
      <w:r>
        <w:t xml:space="preserve"> и </w:t>
      </w:r>
      <w:hyperlink w:tooltip="#P1614" w:anchor="P1614" w:history="1">
        <w:r>
          <w:rPr>
            <w:color w:val="0000ff"/>
          </w:rPr>
          <w:t xml:space="preserve">приложениями 1</w:t>
        </w:r>
      </w:hyperlink>
      <w:r>
        <w:t xml:space="preserve"> и </w:t>
      </w:r>
      <w:hyperlink w:tooltip="#P1886" w:anchor="P1886" w:history="1">
        <w:r>
          <w:rPr>
            <w:color w:val="0000ff"/>
          </w:rPr>
          <w:t xml:space="preserve">2</w:t>
        </w:r>
      </w:hyperlink>
      <w:r>
        <w:t xml:space="preserve"> к настоящему Порядку.</w:t>
      </w:r>
      <w:r/>
    </w:p>
    <w:p>
      <w:pPr>
        <w:pStyle w:val="836"/>
        <w:ind w:firstLine="540"/>
        <w:jc w:val="both"/>
        <w:spacing w:before="220"/>
      </w:pPr>
      <w:r/>
      <w:bookmarkStart w:id="67" w:name="P1558"/>
      <w:r/>
      <w:bookmarkEnd w:id="67"/>
      <w:r>
        <w:t xml:space="preserve">3.16. Уполномоченное лицо вправе отказать администрации муниципального образования в приеме заявки и документов в случаях:</w:t>
      </w:r>
      <w:r/>
    </w:p>
    <w:p>
      <w:pPr>
        <w:pStyle w:val="836"/>
        <w:ind w:firstLine="540"/>
        <w:jc w:val="both"/>
        <w:spacing w:before="220"/>
      </w:pPr>
      <w:r>
        <w:t xml:space="preserve">1) представления заявки и документов за пределами срока, указанного в извещении о начале приема заявок и документов;</w:t>
      </w:r>
      <w:r/>
    </w:p>
    <w:p>
      <w:pPr>
        <w:pStyle w:val="836"/>
        <w:ind w:firstLine="540"/>
        <w:jc w:val="both"/>
        <w:spacing w:before="220"/>
      </w:pPr>
      <w:r/>
      <w:bookmarkStart w:id="68" w:name="P1560"/>
      <w:r/>
      <w:bookmarkEnd w:id="68"/>
      <w:r>
        <w:t xml:space="preserve">2) непредставления заявки, документов и(или) представления не в полном объеме документов, предусмотренных </w:t>
      </w:r>
      <w:hyperlink w:tooltip="#P1886" w:anchor="P1886" w:history="1">
        <w:r>
          <w:rPr>
            <w:color w:val="0000ff"/>
          </w:rPr>
          <w:t xml:space="preserve">приложением 2</w:t>
        </w:r>
      </w:hyperlink>
      <w:r>
        <w:t xml:space="preserve"> к настоящему Порядку;</w:t>
      </w:r>
      <w:r/>
    </w:p>
    <w:p>
      <w:pPr>
        <w:pStyle w:val="836"/>
        <w:ind w:firstLine="540"/>
        <w:jc w:val="both"/>
        <w:spacing w:before="220"/>
      </w:pPr>
      <w:r>
        <w:t xml:space="preserve">3) представления заявки и документов, оформленных с нарушением требований, установленных </w:t>
      </w:r>
      <w:hyperlink w:tooltip="#P1552" w:anchor="P1552" w:history="1">
        <w:r>
          <w:rPr>
            <w:color w:val="0000ff"/>
          </w:rPr>
          <w:t xml:space="preserve">пунктами 3.12</w:t>
        </w:r>
      </w:hyperlink>
      <w:r>
        <w:t xml:space="preserve"> и </w:t>
      </w:r>
      <w:hyperlink w:tooltip="#P1553" w:anchor="P1553" w:history="1">
        <w:r>
          <w:rPr>
            <w:color w:val="0000ff"/>
          </w:rPr>
          <w:t xml:space="preserve">3.13</w:t>
        </w:r>
      </w:hyperlink>
      <w:r>
        <w:t xml:space="preserve"> и </w:t>
      </w:r>
      <w:hyperlink w:tooltip="#P1614" w:anchor="P1614" w:history="1">
        <w:r>
          <w:rPr>
            <w:color w:val="0000ff"/>
          </w:rPr>
          <w:t xml:space="preserve">приложениями 1</w:t>
        </w:r>
      </w:hyperlink>
      <w:r>
        <w:t xml:space="preserve"> и </w:t>
      </w:r>
      <w:hyperlink w:tooltip="#P1886" w:anchor="P1886" w:history="1">
        <w:r>
          <w:rPr>
            <w:color w:val="0000ff"/>
          </w:rPr>
          <w:t xml:space="preserve">2</w:t>
        </w:r>
      </w:hyperlink>
      <w:r>
        <w:t xml:space="preserve"> к настоящему Порядку;</w:t>
      </w:r>
      <w:r/>
    </w:p>
    <w:p>
      <w:pPr>
        <w:pStyle w:val="836"/>
        <w:ind w:firstLine="540"/>
        <w:jc w:val="both"/>
        <w:spacing w:before="220"/>
      </w:pPr>
      <w:r/>
      <w:bookmarkStart w:id="69" w:name="P1562"/>
      <w:r/>
      <w:bookmarkEnd w:id="69"/>
      <w:r>
        <w:t xml:space="preserve">4) несоответствия проекта требованиям, установленным </w:t>
      </w:r>
      <w:hyperlink w:tooltip="#P1522" w:anchor="P1522" w:history="1">
        <w:r>
          <w:rPr>
            <w:color w:val="0000ff"/>
          </w:rPr>
          <w:t xml:space="preserve">пунктами 3.2</w:t>
        </w:r>
      </w:hyperlink>
      <w:r>
        <w:t xml:space="preserve"> - </w:t>
      </w:r>
      <w:hyperlink w:tooltip="#P1530" w:anchor="P1530" w:history="1">
        <w:r>
          <w:rPr>
            <w:color w:val="0000ff"/>
          </w:rPr>
          <w:t xml:space="preserve">3.4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  <w:spacing w:before="220"/>
      </w:pPr>
      <w:r>
        <w:t xml:space="preserve">3.17. Отказ в приеме заявки и документов оформляется в письменном виде, должен быть мотивирован и направлен в администрацию муниципального образования в течение пяти рабочих дней со дня передачи заявки и документов организатору.</w:t>
      </w:r>
      <w:r/>
    </w:p>
    <w:p>
      <w:pPr>
        <w:pStyle w:val="836"/>
        <w:ind w:firstLine="540"/>
        <w:jc w:val="both"/>
        <w:spacing w:before="220"/>
      </w:pPr>
      <w:r>
        <w:t xml:space="preserve">В случае устранения причин, послуживших основанием для отказа в приеме заявки и документов, указанных в </w:t>
      </w:r>
      <w:hyperlink w:tooltip="#P1560" w:anchor="P1560" w:history="1">
        <w:r>
          <w:rPr>
            <w:color w:val="0000ff"/>
          </w:rPr>
          <w:t xml:space="preserve">подпунктах 2</w:t>
        </w:r>
      </w:hyperlink>
      <w:r>
        <w:t xml:space="preserve"> - </w:t>
      </w:r>
      <w:hyperlink w:tooltip="#P1562" w:anchor="P1562" w:history="1">
        <w:r>
          <w:rPr>
            <w:color w:val="0000ff"/>
          </w:rPr>
          <w:t xml:space="preserve">4 пункта 3.16</w:t>
        </w:r>
      </w:hyperlink>
      <w:r>
        <w:t xml:space="preserve"> настоящего Порядка, администрация муниципального образования вправе повторно подать организатору заявку и документы, но не позднее установленной даты окончания срока приема заявок и документов, указанной в извещении.</w:t>
      </w:r>
      <w:r/>
    </w:p>
    <w:p>
      <w:pPr>
        <w:pStyle w:val="836"/>
        <w:ind w:firstLine="540"/>
        <w:jc w:val="both"/>
        <w:spacing w:before="220"/>
      </w:pPr>
      <w:r>
        <w:t xml:space="preserve">3.18. При отсутствии предусмотренных </w:t>
      </w:r>
      <w:hyperlink w:tooltip="#P1558" w:anchor="P1558" w:history="1">
        <w:r>
          <w:rPr>
            <w:color w:val="0000ff"/>
          </w:rPr>
          <w:t xml:space="preserve">пунктом 3.16</w:t>
        </w:r>
      </w:hyperlink>
      <w:r>
        <w:t xml:space="preserve"> настоящего Порядка оснований для отказа в приеме заявки и документов уполномоченное лицо не позднее чем через 10 рабочих дней после завершения срока приема заявок обеспечивает передачу документов в региональную экспертную комиссию.</w:t>
      </w:r>
      <w:r/>
    </w:p>
    <w:p>
      <w:pPr>
        <w:pStyle w:val="836"/>
        <w:ind w:firstLine="540"/>
        <w:jc w:val="both"/>
        <w:spacing w:before="220"/>
      </w:pPr>
      <w:r>
        <w:t xml:space="preserve">3.19. Сводный перечень проектов и предложение о распределении субсидии отражаются в протоколе заседания региональной экспертной комиссии.</w:t>
      </w:r>
      <w:r/>
    </w:p>
    <w:p>
      <w:pPr>
        <w:pStyle w:val="836"/>
        <w:ind w:firstLine="540"/>
        <w:jc w:val="both"/>
        <w:spacing w:before="220"/>
      </w:pPr>
      <w:r>
        <w:t xml:space="preserve">3.20. Организатор обеспечивает размещение подписанного протокола заседания региональной экспертной комиссии на официальном сайте в срок не позднее пяти рабочих дней со дня его подписания.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>
        <w:t xml:space="preserve">4. Методика распределения субсидии</w:t>
      </w:r>
      <w:r/>
    </w:p>
    <w:p>
      <w:pPr>
        <w:pStyle w:val="836"/>
        <w:jc w:val="center"/>
      </w:pPr>
      <w:r/>
      <w:r/>
    </w:p>
    <w:p>
      <w:pPr>
        <w:pStyle w:val="836"/>
        <w:ind w:firstLine="540"/>
        <w:jc w:val="both"/>
      </w:pPr>
      <w:r>
        <w:t xml:space="preserve">4.1. Распределение субсидии между муниципальными образованиями, являющимися победителями отбора, осуществляется исходя из заявок по формуле: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Сi = ЗСi x УСi,</w:t>
      </w:r>
      <w:r/>
    </w:p>
    <w:p>
      <w:pPr>
        <w:pStyle w:val="836"/>
        <w:jc w:val="center"/>
      </w:pPr>
      <w:r/>
      <w:r/>
    </w:p>
    <w:p>
      <w:pPr>
        <w:pStyle w:val="836"/>
        <w:ind w:firstLine="540"/>
        <w:jc w:val="both"/>
      </w:pPr>
      <w:r>
        <w:t xml:space="preserve">где:</w:t>
      </w:r>
      <w:r/>
    </w:p>
    <w:p>
      <w:pPr>
        <w:pStyle w:val="836"/>
        <w:ind w:firstLine="540"/>
        <w:jc w:val="both"/>
        <w:spacing w:before="220"/>
      </w:pPr>
      <w:r>
        <w:t xml:space="preserve">Сi - объем субсидии, предусмотренный бюджету i-го муниципального образования;</w:t>
      </w:r>
      <w:r/>
    </w:p>
    <w:p>
      <w:pPr>
        <w:pStyle w:val="836"/>
        <w:ind w:firstLine="540"/>
        <w:jc w:val="both"/>
        <w:spacing w:before="220"/>
      </w:pPr>
      <w:r>
        <w:t xml:space="preserve">ЗСi - плановый общий объем расходов на исполнение софинансируемых обязательств в соответствии с заявкой (заявками) i-го муниципального образования, отобранной (отобранными) для предоставления субсидии;</w:t>
      </w:r>
      <w:r/>
    </w:p>
    <w:p>
      <w:pPr>
        <w:pStyle w:val="836"/>
        <w:ind w:firstLine="540"/>
        <w:jc w:val="both"/>
        <w:spacing w:before="220"/>
      </w:pPr>
      <w:r>
        <w:t xml:space="preserve">УСi - предельный уровень софинансирования для i-го муниципального образования, установленный правовым актом Правительства Ленинградской области на соответствующий финансовый год.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4.2. Распределение субсидии между муниципальными образованиями Ленинградской области утверждается постановлением Правительства Ленинградской области на очередной финансовый год и на плановый период.</w:t>
      </w:r>
      <w:r/>
    </w:p>
    <w:p>
      <w:pPr>
        <w:pStyle w:val="836"/>
        <w:ind w:firstLine="540"/>
        <w:jc w:val="both"/>
        <w:spacing w:before="220"/>
      </w:pPr>
      <w:r>
        <w:t xml:space="preserve">Размер субсидии, предоставляемой на софинансирование одного проекта, не должен превышать 1 млн рублей.</w:t>
      </w:r>
      <w:r/>
    </w:p>
    <w:p>
      <w:pPr>
        <w:pStyle w:val="836"/>
        <w:ind w:firstLine="540"/>
        <w:jc w:val="both"/>
        <w:spacing w:before="220"/>
      </w:pPr>
      <w:r>
        <w:t xml:space="preserve">4.3. Изменения в утвержденное распределение субсидии вносятся:</w:t>
      </w:r>
      <w:r/>
    </w:p>
    <w:p>
      <w:pPr>
        <w:pStyle w:val="836"/>
        <w:ind w:firstLine="540"/>
        <w:jc w:val="both"/>
        <w:spacing w:before="220"/>
      </w:pPr>
      <w:r>
        <w:t xml:space="preserve">1) при уточнении планового объема расходов на исполнение софинансируемых обязательств по итогам заключения муниципальных контрактов (договоров) на поставку товаров, выполнение работ, оказание услуг;</w:t>
      </w:r>
      <w:r/>
    </w:p>
    <w:p>
      <w:pPr>
        <w:pStyle w:val="836"/>
        <w:ind w:firstLine="540"/>
        <w:jc w:val="both"/>
        <w:spacing w:before="220"/>
      </w:pPr>
      <w:r>
        <w:t xml:space="preserve">2) при изменении объема бюджетных ассигнований областного бюджета, предусмотренного для предоставления субсидии;</w:t>
      </w:r>
      <w:r/>
    </w:p>
    <w:p>
      <w:pPr>
        <w:pStyle w:val="836"/>
        <w:ind w:firstLine="540"/>
        <w:jc w:val="both"/>
        <w:spacing w:before="220"/>
      </w:pPr>
      <w:r>
        <w:t xml:space="preserve">3) при отказе муниципального образования от получения субсидии;</w:t>
      </w:r>
      <w:r/>
    </w:p>
    <w:p>
      <w:pPr>
        <w:pStyle w:val="836"/>
        <w:ind w:firstLine="540"/>
        <w:jc w:val="both"/>
        <w:spacing w:before="220"/>
      </w:pPr>
      <w:r>
        <w:t xml:space="preserve">4) при отказе от заключения соглашения в срок в соответствии с </w:t>
      </w:r>
      <w:hyperlink w:tooltip="#P1595" w:anchor="P1595" w:history="1">
        <w:r>
          <w:rPr>
            <w:color w:val="0000ff"/>
          </w:rPr>
          <w:t xml:space="preserve">пунктом 5.1</w:t>
        </w:r>
      </w:hyperlink>
      <w:r>
        <w:t xml:space="preserve"> настоящего </w:t>
      </w:r>
      <w:r>
        <w:t xml:space="preserve">Порядка;</w:t>
      </w:r>
      <w:r/>
    </w:p>
    <w:p>
      <w:pPr>
        <w:pStyle w:val="836"/>
        <w:ind w:firstLine="540"/>
        <w:jc w:val="both"/>
        <w:spacing w:before="220"/>
      </w:pPr>
      <w:r>
        <w:t xml:space="preserve">5) при расторжении соглашения.</w:t>
      </w:r>
      <w:r/>
    </w:p>
    <w:p>
      <w:pPr>
        <w:pStyle w:val="836"/>
        <w:ind w:firstLine="540"/>
        <w:jc w:val="both"/>
        <w:spacing w:before="220"/>
      </w:pPr>
      <w:r>
        <w:t xml:space="preserve">4.4. Комитет объявляет о дополнительном конкурсном отборе муниципальных образований для предоставления субсидии в следующих случаях:</w:t>
      </w:r>
      <w:r/>
    </w:p>
    <w:p>
      <w:pPr>
        <w:pStyle w:val="836"/>
        <w:ind w:firstLine="540"/>
        <w:jc w:val="both"/>
        <w:spacing w:before="220"/>
      </w:pPr>
      <w:r>
        <w:t xml:space="preserve">увеличения общего объема бюджетных ассигнований областного бюджета, предусмотренного для предоставления субсидии;</w:t>
      </w:r>
      <w:r/>
    </w:p>
    <w:p>
      <w:pPr>
        <w:pStyle w:val="836"/>
        <w:ind w:firstLine="540"/>
        <w:jc w:val="both"/>
        <w:spacing w:before="220"/>
      </w:pPr>
      <w:r>
        <w:t xml:space="preserve">наличия нераспределенного объема субсидии.</w:t>
      </w:r>
      <w:r/>
    </w:p>
    <w:p>
      <w:pPr>
        <w:pStyle w:val="836"/>
        <w:ind w:firstLine="540"/>
        <w:jc w:val="both"/>
        <w:spacing w:before="220"/>
      </w:pPr>
      <w:r>
        <w:t xml:space="preserve">Дополнительный конкурсный отбор осуществляется в соответствии с положениями </w:t>
      </w:r>
      <w:hyperlink w:tooltip="#P1517" w:anchor="P1517" w:history="1">
        <w:r>
          <w:rPr>
            <w:color w:val="0000ff"/>
          </w:rPr>
          <w:t xml:space="preserve">раздела 3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>
        <w:t xml:space="preserve">5. Порядок предоставления и перечисления субсидии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bookmarkStart w:id="70" w:name="P1595"/>
      <w:r/>
      <w:bookmarkEnd w:id="70"/>
      <w:r>
        <w:t xml:space="preserve">5.1. Предоставление субсидии осуществляется н</w:t>
      </w:r>
      <w:r>
        <w:t xml:space="preserve">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области. Содержание и срок заключения соглашения определяются требованиями </w:t>
      </w:r>
      <w:hyperlink r:id="rId13" w:tooltip="https://login.consultant.ru/link/?req=doc&amp;base=SPB&amp;n=308870&amp;dst=100636" w:history="1">
        <w:r>
          <w:rPr>
            <w:color w:val="0000ff"/>
          </w:rPr>
          <w:t xml:space="preserve">пунктов 4.1</w:t>
        </w:r>
      </w:hyperlink>
      <w:r>
        <w:t xml:space="preserve"> и </w:t>
      </w:r>
      <w:hyperlink r:id="rId14" w:tooltip="https://login.consultant.ru/link/?req=doc&amp;base=SPB&amp;n=308870&amp;dst=100523" w:history="1">
        <w:r>
          <w:rPr>
            <w:color w:val="0000ff"/>
          </w:rPr>
          <w:t xml:space="preserve">4.2</w:t>
        </w:r>
      </w:hyperlink>
      <w:r>
        <w:t xml:space="preserve"> Правил.</w:t>
      </w:r>
      <w:r/>
    </w:p>
    <w:p>
      <w:pPr>
        <w:pStyle w:val="836"/>
        <w:ind w:firstLine="540"/>
        <w:jc w:val="both"/>
        <w:spacing w:before="220"/>
      </w:pPr>
      <w:r>
        <w:t xml:space="preserve">5.2. Перечисление субсидии осуществля</w:t>
      </w:r>
      <w:r>
        <w:t xml:space="preserve">ется главным распорядителем бюджетных средств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 в соответствии с </w:t>
      </w:r>
      <w:hyperlink r:id="rId15" w:tooltip="https://login.consultant.ru/link/?req=doc&amp;base=SPB&amp;n=308870&amp;dst=100674" w:history="1">
        <w:r>
          <w:rPr>
            <w:color w:val="0000ff"/>
          </w:rPr>
          <w:t xml:space="preserve">пунктом 4.6</w:t>
        </w:r>
      </w:hyperlink>
      <w:r>
        <w:t xml:space="preserve"> Правил.</w:t>
      </w:r>
      <w:r/>
    </w:p>
    <w:p>
      <w:pPr>
        <w:pStyle w:val="836"/>
        <w:ind w:firstLine="540"/>
        <w:jc w:val="both"/>
        <w:spacing w:before="220"/>
      </w:pPr>
      <w:r>
        <w:t xml:space="preserve">5.3. Перечень документов, подтверждающих потребность в оплате денежных обязательств по расходам муници</w:t>
      </w:r>
      <w:r>
        <w:t xml:space="preserve">пального образования, источником финансового обеспечения которых является субсидия, включает документы о приемке выполненных работ, товарные накладные, муниципальные контракты, договоры и иные документы, подтверждающие потребность в осуществлении расходов.</w:t>
      </w:r>
      <w:r/>
    </w:p>
    <w:p>
      <w:pPr>
        <w:pStyle w:val="836"/>
        <w:ind w:firstLine="540"/>
        <w:jc w:val="both"/>
        <w:spacing w:before="220"/>
      </w:pPr>
      <w:r>
        <w:t xml:space="preserve">5.4. Средства суб</w:t>
      </w:r>
      <w:r>
        <w:t xml:space="preserve">сидии, не использованные в текущем финансовом году, а также использованные муниципальным образованием не по целевому назначению, подлежат возврату в областной бюджет в порядке и в сроки, установленные правовым актом Комитета финансов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5.5. Главный распорядитель</w:t>
      </w:r>
      <w:r>
        <w:t xml:space="preserve"> бюджетных средств обеспечивает соблюдение муниципальными образованиями целей, порядка и условий предоставления субсидии (в том числе достижения значений результатов использования субсидии) в соответствии с бюджетным законодательством Российской Федерации.</w:t>
      </w:r>
      <w:r/>
    </w:p>
    <w:p>
      <w:pPr>
        <w:pStyle w:val="836"/>
        <w:ind w:firstLine="540"/>
        <w:jc w:val="both"/>
        <w:spacing w:before="220"/>
      </w:pPr>
      <w:r>
        <w:t xml:space="preserve">Контроль за соблюдением целей, порядка и условий предоставления субсидии, а также за соблюдением условий соглашений и</w:t>
      </w:r>
      <w:r>
        <w:t xml:space="preserve">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  <w:r/>
    </w:p>
    <w:p>
      <w:pPr>
        <w:pStyle w:val="836"/>
        <w:ind w:firstLine="540"/>
        <w:jc w:val="both"/>
        <w:spacing w:before="220"/>
      </w:pPr>
      <w:r>
        <w:t xml:space="preserve">5.6.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5.7.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законодательством.</w:t>
      </w:r>
      <w:r/>
    </w:p>
    <w:p>
      <w:pPr>
        <w:pStyle w:val="836"/>
        <w:ind w:firstLine="540"/>
        <w:jc w:val="both"/>
        <w:spacing w:before="220"/>
      </w:pPr>
      <w:r>
        <w:t xml:space="preserve">5.8. В случае недостижения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16" w:tooltip="https://login.consultant.ru/link/?req=doc&amp;base=SPB&amp;n=308870&amp;dst=100547" w:history="1">
        <w:r>
          <w:rPr>
            <w:color w:val="0000ff"/>
          </w:rPr>
          <w:t xml:space="preserve">разделом 5</w:t>
        </w:r>
      </w:hyperlink>
      <w:r>
        <w:t xml:space="preserve"> Правил.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  <w:outlineLvl w:val="2"/>
      </w:pPr>
      <w:r>
        <w:t xml:space="preserve">Приложение 1</w:t>
      </w:r>
      <w:r/>
    </w:p>
    <w:p>
      <w:pPr>
        <w:pStyle w:val="836"/>
        <w:jc w:val="right"/>
      </w:pPr>
      <w:r>
        <w:t xml:space="preserve">к Порядку...</w:t>
      </w:r>
      <w:r/>
    </w:p>
    <w:p>
      <w:pPr>
        <w:pStyle w:val="836"/>
        <w:ind w:firstLine="540"/>
        <w:jc w:val="both"/>
      </w:pPr>
      <w:r/>
      <w:r/>
    </w:p>
    <w:p>
      <w:pPr>
        <w:pStyle w:val="836"/>
      </w:pPr>
      <w:r>
        <w:t xml:space="preserve">(Форма)</w:t>
      </w:r>
      <w:r/>
    </w:p>
    <w:p>
      <w:pPr>
        <w:pStyle w:val="836"/>
        <w:jc w:val="center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71" w:name="P1614"/>
            <w:r/>
            <w:bookmarkEnd w:id="71"/>
            <w:r>
              <w:t xml:space="preserve">ЗАЯВКА</w:t>
            </w:r>
            <w:r/>
          </w:p>
          <w:p>
            <w:pPr>
              <w:pStyle w:val="836"/>
              <w:jc w:val="center"/>
            </w:pPr>
            <w:r>
              <w:t xml:space="preserve">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Администрация муниципального образования 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направляет заявку и документы для участия в отборе 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1. Наименование проекта школьного инициативного бюджетирования (далее - проект): ________________________________________________________________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 Место реализации проекта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2.1. Муниципальное образование Ленинградской области: 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2.2. Населенный пункт (в том числе фактический адрес реализации проекта):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2.3. Наименование общеобразовательной организации: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2.4. Численность обучающихся общеобразовательной организации: 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 Сведения о составе команды: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3"/>
        <w:gridCol w:w="1928"/>
        <w:gridCol w:w="2154"/>
        <w:gridCol w:w="2041"/>
        <w:gridCol w:w="2331"/>
      </w:tblGrid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ФИО участников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Дата рождения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Роль в команде</w:t>
            </w:r>
            <w:r/>
          </w:p>
        </w:tc>
        <w:tc>
          <w:tcPr>
            <w:tcW w:w="233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Контакты</w:t>
            </w:r>
            <w:r/>
          </w:p>
          <w:p>
            <w:pPr>
              <w:pStyle w:val="836"/>
              <w:jc w:val="center"/>
            </w:pPr>
            <w:r>
              <w:t xml:space="preserve">(телефон, электронная почта)</w:t>
            </w:r>
            <w:r/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33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33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4. Сведения о руководителе команды: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3"/>
        <w:gridCol w:w="1928"/>
        <w:gridCol w:w="2154"/>
        <w:gridCol w:w="2041"/>
        <w:gridCol w:w="2331"/>
      </w:tblGrid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ФИО руководителя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Дата рождения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Должность</w:t>
            </w:r>
            <w:r/>
          </w:p>
        </w:tc>
        <w:tc>
          <w:tcPr>
            <w:tcW w:w="233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Контакты</w:t>
            </w:r>
            <w:r/>
          </w:p>
          <w:p>
            <w:pPr>
              <w:pStyle w:val="836"/>
              <w:jc w:val="center"/>
            </w:pPr>
            <w:r>
              <w:t xml:space="preserve">(телефон, электронная почта)</w:t>
            </w:r>
            <w:r/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33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W w:w="233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5. Описание проекта ___________________________________________________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5.1. Тип проекта согласно </w:t>
            </w:r>
            <w:hyperlink w:tooltip="#P1522" w:anchor="P1522" w:history="1">
              <w:r>
                <w:rPr>
                  <w:color w:val="0000ff"/>
                </w:rPr>
                <w:t xml:space="preserve">пункту 3.2</w:t>
              </w:r>
            </w:hyperlink>
            <w:r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5.2. Актуальность проекта (в том числе описание проблемы, на решение которой направлен проект): _______________________________________________________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значимости проекта для конкретной общеобразовательной организации,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описание сути проблемы, ее негативных социально-экономических последствий,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текущего состояния объекта общественной инфраструктуры, предусмотренного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проектом, и т.д.)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5.3. Ожидаемые результаты: 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6. Виды расходов на реализацию проекта: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540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1</w:t>
            </w:r>
            <w:r/>
          </w:p>
        </w:tc>
      </w:tr>
    </w:tbl>
    <w:p>
      <w:pPr>
        <w:pStyle w:val="836"/>
        <w:jc w:val="right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4365"/>
        <w:gridCol w:w="2211"/>
        <w:gridCol w:w="1814"/>
      </w:tblGrid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Виды работ (услуг)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Полная стоимость, рублей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Описание</w:t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836"/>
            </w:pPr>
            <w:r>
              <w:t xml:space="preserve">Ремонтно-строительные работы (в соответствии со сметой)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материалов (кроме тех, которые учтены в строке "ремонтно-строительные работы")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оборудования и техники (кроме того, которое учтено в строке "ремонтно-строительные работы")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услуг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836"/>
            </w:pPr>
            <w:r>
              <w:t xml:space="preserve">Строительный контроль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836"/>
            </w:pPr>
            <w:r>
              <w:t xml:space="preserve">Прочие расходы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5045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7. Смета (описание видов расходов и их стоимости):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2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1417"/>
        <w:gridCol w:w="1474"/>
        <w:gridCol w:w="1474"/>
        <w:gridCol w:w="141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Количество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Цена за единицу, рублей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Полная стоимость, рублей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товаров (материалы, техника, оборудование),</w:t>
            </w:r>
            <w:r/>
          </w:p>
          <w:p>
            <w:pPr>
              <w:pStyle w:val="836"/>
            </w:pPr>
            <w:r>
              <w:t xml:space="preserve">в том числе: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>
              <w:t xml:space="preserve">Оказание услуг, выполнение работ,</w:t>
            </w:r>
            <w:r/>
          </w:p>
          <w:p>
            <w:pPr>
              <w:pStyle w:val="836"/>
            </w:pPr>
            <w:r>
              <w:t xml:space="preserve">в том числе: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3288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8. Планируемые источники финансирования мероприятий проекта: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3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5443"/>
        <w:gridCol w:w="2948"/>
      </w:tblGrid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54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Виды источников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Сумма, рублей</w:t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5443" w:type="dxa"/>
            <w:textDirection w:val="lrTb"/>
            <w:noWrap w:val="false"/>
          </w:tcPr>
          <w:p>
            <w:pPr>
              <w:pStyle w:val="836"/>
            </w:pPr>
            <w:r>
              <w:t xml:space="preserve">Бюджет муниципального образования Ленинградской области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5443" w:type="dxa"/>
            <w:textDirection w:val="lrTb"/>
            <w:noWrap w:val="false"/>
          </w:tcPr>
          <w:p>
            <w:pPr>
              <w:pStyle w:val="836"/>
            </w:pPr>
            <w:r>
              <w:t xml:space="preserve">Бюджет общеобразовательной организации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5443" w:type="dxa"/>
            <w:textDirection w:val="lrTb"/>
            <w:noWrap w:val="false"/>
          </w:tcPr>
          <w:p>
            <w:pPr>
              <w:pStyle w:val="836"/>
            </w:pPr>
            <w:r>
              <w:t xml:space="preserve">Спонсоры (денежные поступления от юридических лиц, индивидуальных предпринимателей и т.п.)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5443" w:type="dxa"/>
            <w:textDirection w:val="lrTb"/>
            <w:noWrap w:val="false"/>
          </w:tcPr>
          <w:p>
            <w:pPr>
              <w:pStyle w:val="836"/>
            </w:pPr>
            <w:r>
              <w:t xml:space="preserve">Субсидия из областного бюджета Ленинградской области образовательным организациям Ленинградской области на поддержку проектов школьного инициативного бюджетирования (не более 1 млн рублей)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6123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9. Благополучатели проекта: 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540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группы обучающихся, которые регулярно будут пользоваться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540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результатами выполненного проекта)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Число благополучателей (человек): _________________________________________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10. Число лиц, принявших участие в голосовании: 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(согласно протоколу экспертной комиссии общеобразовательной организации Ленинградской области)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 Число лиц, проголосовавших за проект: 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(согласно протоколу экспертной комиссии общеобразовательной организации Ленинградской области)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12. Расходы на эксплуатацию и содержание объекта общественной инфраструктуры, информационно-коммуникационных ресурсов в информационно-телекоммуникационной сети "Интерне</w:t>
            </w:r>
            <w:r>
              <w:t xml:space="preserve">т", оборудования и техники, предусмотренных проектом, на следующий год после завершения проекта с указанием источников предоставления необходимых ресурсов (например, заработная плата, текущий ремонт, расходные материалы, содержание доменного имени и т.д.):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муниципального учреждения, которое будет осуществлять расходы на </w:t>
            </w:r>
            <w:r>
              <w:t xml:space="preserve">эксплуатацию и содержание объекта общественной инфраструктуры,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540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информационно-коммуникационных ресурсов в информационно-телекоммуникационной сети "Интернет", оборудования и техники,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540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предусмотренных проектом, на следующий год после завершения проекта)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540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4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5159"/>
        <w:gridCol w:w="3225"/>
      </w:tblGrid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 расходов</w:t>
            </w:r>
            <w:r/>
          </w:p>
        </w:tc>
        <w:tc>
          <w:tcPr>
            <w:tcW w:w="322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Сумма финансирования из бюджета муниципального образования Ленинградской области, рублей</w:t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22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22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5839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322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13. Срок реализации проекта: 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Проект поддержан на общешкольном собрании.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Дата проведения: ____ ____________________ ______ года.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72"/>
        <w:gridCol w:w="1587"/>
        <w:gridCol w:w="340"/>
        <w:gridCol w:w="357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Глава администрации муниципального образования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Контактный телефон ______________________________________________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e-mail: ___________________________________________________________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Почтовый адрес администрации муниципального образования Ленинградской области ____________________________________________________________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"___" ___________ 20___ года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Примечание.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В смету не включаются и не подлежат финансированию расходы: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1) не связанные с реализацией проекта;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2) на приобретение имущества (включая земельные участки и автотранспортные средства);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3) на содержание помещений, включая отопление, водоснабжение электроснабжение, канализацию и оплату других эксплуатационных и коммунальных услуг (уборка, вывоз твердых бытовых отходов и иные);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4) на оплату труда работников общеобразовательных организаций, в том числе заработную плату и премирование работников;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5) на командировочные расходы;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6) на погашение задолженности организаций, реализующих проект;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7) на уплату штрафов, пеней;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8) на представительские расходы;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9) на предоставление премий, благотворительные пожертвования в денежной форме;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10) на проведение конкурсов для некоммерческих организаций и физических лиц;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11) на приобретение продуктов питания с целью их раздачи в виде материальной (благотворительной) помощи;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12) на приобретение алкогольной и табачной продукции, а также предметов роскоши;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13) на финансирование политических партий, кампаний и акций, подготовку и проведение митингов, демонстраций и пикетирований.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  <w:outlineLvl w:val="2"/>
      </w:pPr>
      <w:r>
        <w:t xml:space="preserve">Приложение 2</w:t>
      </w:r>
      <w:r/>
    </w:p>
    <w:p>
      <w:pPr>
        <w:pStyle w:val="836"/>
        <w:jc w:val="right"/>
      </w:pPr>
      <w:r>
        <w:t xml:space="preserve">к Порядку...</w:t>
      </w:r>
      <w:r/>
    </w:p>
    <w:p>
      <w:pPr>
        <w:pStyle w:val="836"/>
        <w:jc w:val="right"/>
      </w:pPr>
      <w:r/>
      <w:r/>
    </w:p>
    <w:p>
      <w:pPr>
        <w:pStyle w:val="838"/>
        <w:jc w:val="center"/>
      </w:pPr>
      <w:r/>
      <w:bookmarkStart w:id="72" w:name="P1886"/>
      <w:r/>
      <w:bookmarkEnd w:id="72"/>
      <w:r>
        <w:t xml:space="preserve">ПЕРЕЧЕНЬ</w:t>
      </w:r>
      <w:r/>
    </w:p>
    <w:p>
      <w:pPr>
        <w:pStyle w:val="838"/>
        <w:jc w:val="center"/>
      </w:pPr>
      <w:r>
        <w:t xml:space="preserve">ДОКУМЕНТОВ НА ПРЕДОСТАВЛЕНИЕ СУБСИДИИ ИЗ ОБЛАСТНОГО БЮДЖЕТА</w:t>
      </w:r>
      <w:r/>
    </w:p>
    <w:p>
      <w:pPr>
        <w:pStyle w:val="838"/>
        <w:jc w:val="center"/>
      </w:pPr>
      <w:r>
        <w:t xml:space="preserve">ЛЕНИНГРАДСКОЙ ОБЛАСТИ БЮДЖЕТАМ МУНИЦИПАЛЬНЫХ ОБРАЗОВАНИЙ</w:t>
      </w:r>
      <w:r/>
    </w:p>
    <w:p>
      <w:pPr>
        <w:pStyle w:val="838"/>
        <w:jc w:val="center"/>
      </w:pPr>
      <w:r>
        <w:t xml:space="preserve">ЛЕНИНГРАДСКОЙ ОБЛАСТИ НА ПОДДЕРЖКУ ПРОЕКТОВ ШКОЛЬНОГО</w:t>
      </w:r>
      <w:r/>
    </w:p>
    <w:p>
      <w:pPr>
        <w:pStyle w:val="838"/>
        <w:jc w:val="center"/>
      </w:pPr>
      <w:r>
        <w:t xml:space="preserve">ИНИЦИАТИВНОГО БЮДЖЕТИРОВАНИЯ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Копия приказа общеобразовательной организации "Об утверждении Положения о школьном инициативном бюджетировании" - на ____ л. в ____ экз.;</w:t>
      </w:r>
      <w:r/>
    </w:p>
    <w:p>
      <w:pPr>
        <w:pStyle w:val="836"/>
        <w:ind w:firstLine="540"/>
        <w:jc w:val="both"/>
        <w:spacing w:before="220"/>
      </w:pPr>
      <w:r>
        <w:t xml:space="preserve">копия протокола общешкольного собрания с результатами процедуры голосования по выбору проекта и протокола заседания экспертной комиссии муниципального образования для направления на конкурсный отбор - на ____ л. в ____ экз.;</w:t>
      </w:r>
      <w:r/>
    </w:p>
    <w:p>
      <w:pPr>
        <w:pStyle w:val="836"/>
        <w:ind w:firstLine="540"/>
        <w:jc w:val="both"/>
        <w:spacing w:before="220"/>
      </w:pPr>
      <w:r>
        <w:t xml:space="preserve">копия листа регистрации участников общешкольного собрания по выбору проекта для направления на конкурсный отбор - на ____ л. в ____ экз.;</w:t>
      </w:r>
      <w:r/>
    </w:p>
    <w:p>
      <w:pPr>
        <w:pStyle w:val="836"/>
        <w:ind w:firstLine="540"/>
        <w:jc w:val="both"/>
        <w:spacing w:before="220"/>
      </w:pPr>
      <w:r>
        <w:t xml:space="preserve">фотографии защиты презентации проектов и процедуры голосования по выбору проекта для направления на конкурсный отбор - на ____ л. в ____ экз.;</w:t>
      </w:r>
      <w:r/>
    </w:p>
    <w:p>
      <w:pPr>
        <w:pStyle w:val="836"/>
        <w:ind w:firstLine="540"/>
        <w:jc w:val="both"/>
        <w:spacing w:before="220"/>
      </w:pPr>
      <w:r>
        <w:t xml:space="preserve">гарантийное письмо от спонсора о готовности принять участие в реализации проекта в денежной форме (при наличии) - на ____ л. в ____ экз.;</w:t>
      </w:r>
      <w:r/>
    </w:p>
    <w:p>
      <w:pPr>
        <w:pStyle w:val="836"/>
        <w:ind w:firstLine="540"/>
        <w:jc w:val="both"/>
        <w:spacing w:before="220"/>
      </w:pPr>
      <w:r>
        <w:t xml:space="preserve">сметная документация; графическая часть (проектная документация или план-схема и т.д.) - на ____ л. в ____ экз.;</w:t>
      </w:r>
      <w:r/>
    </w:p>
    <w:p>
      <w:pPr>
        <w:pStyle w:val="836"/>
        <w:ind w:firstLine="540"/>
        <w:jc w:val="both"/>
        <w:spacing w:before="220"/>
      </w:pPr>
      <w:r>
        <w:t xml:space="preserve">копии информационных материалов, которые касаются освещения участия обучающихся в реализации проекта на интернет-сайте общеобразовательной организации, в социальных сетях, - на ____ л. в ____ экз.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  <w:outlineLvl w:val="2"/>
      </w:pPr>
      <w:r>
        <w:t xml:space="preserve">Приложение 3</w:t>
      </w:r>
      <w:r/>
    </w:p>
    <w:p>
      <w:pPr>
        <w:pStyle w:val="836"/>
        <w:jc w:val="right"/>
      </w:pPr>
      <w:r>
        <w:t xml:space="preserve">к Порядку...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</w:pPr>
      <w:r/>
      <w:bookmarkStart w:id="73" w:name="P1907"/>
      <w:r/>
      <w:bookmarkEnd w:id="73"/>
      <w:r>
        <w:t xml:space="preserve">КРИТЕРИИ</w:t>
      </w:r>
      <w:r/>
    </w:p>
    <w:p>
      <w:pPr>
        <w:pStyle w:val="838"/>
        <w:jc w:val="center"/>
      </w:pPr>
      <w:r>
        <w:t xml:space="preserve">ОЦЕНКИ И ПОКАЗАТЕЛИ КРИТЕРИЕВ ОЦЕНКИ ЗАЯВОК</w:t>
      </w:r>
      <w:r/>
    </w:p>
    <w:p>
      <w:pPr>
        <w:pStyle w:val="838"/>
        <w:jc w:val="center"/>
      </w:pPr>
      <w:r>
        <w:t xml:space="preserve">УЧАСТНИКОВ КОНКУРСНОГО ОТБОРА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3515"/>
        <w:gridCol w:w="2268"/>
        <w:gridCol w:w="1984"/>
        <w:gridCol w:w="1020"/>
        <w:gridCol w:w="1247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Критерий оценки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Показатели критериев оценки</w:t>
            </w:r>
            <w:r/>
          </w:p>
        </w:tc>
        <w:tc>
          <w:tcPr>
            <w:gridSpan w:val="2"/>
            <w:tcW w:w="425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Количественные и качественные показатели достижения планируемых результатов</w:t>
            </w:r>
            <w:r/>
          </w:p>
        </w:tc>
        <w:tc>
          <w:tcPr>
            <w:gridSpan w:val="2"/>
            <w:tcW w:w="226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Уровень соответствия показателя критериям оценки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качественное значение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количественное значение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</w:t>
            </w:r>
            <w:r/>
          </w:p>
          <w:p>
            <w:pPr>
              <w:pStyle w:val="836"/>
              <w:jc w:val="center"/>
            </w:pPr>
            <w:r>
              <w:t xml:space="preserve">(1 балл)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нет</w:t>
            </w:r>
            <w:r/>
          </w:p>
          <w:p>
            <w:pPr>
              <w:pStyle w:val="836"/>
              <w:jc w:val="center"/>
            </w:pPr>
            <w:r>
              <w:t xml:space="preserve">(0 баллов)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</w:t>
            </w:r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Значимость реализации проекта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Перспективы улучшения социально-экономической ситуации, снижение оттока населения, повышение уровня удовлетворенности молодежи сервисами и инфраструктурой для молодежи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Обоснованность выбора направления проекта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Реалистичность проекта и его мероприятий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Обозначены необходимые и имеющиеся ресурсы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Обозначены сроки реализации проекта, соответствующие требованиям общих условий участия и порядку проведения ежегодного отбора проектов школьного инициативного бюджетирования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Обозначена команда реализации проекта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Соответствует/не соответствует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Количество человек в команде </w:t>
            </w:r>
            <w:r>
              <w:t xml:space="preserve">не менее 6 человек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Планируемая эффективность предлагаемых решений и механизмов реализации проекта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Планируемый охват обучающихся общеобразовательной организации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Охват обучающихся, %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Оптимальность мероприятий проекта для достижения его целей и задач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Соответствие ресурсной базы общеобразовательной организации задачам проекта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 имеющейся инфраструктуры для частичной реализации проекта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Возможность использования инфраструктуры организаций-партнеров (предприятий/организаций) для реализации проекта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Информация представлена/не представлена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Финансовое обеспечение реализации проекта (в том числе софинансирование)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Обоснование использования средств субсидии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Представлено/не представлено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Стоимость работ/услуг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Сроки расходования средств субсидии (дата)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Представлено/не представлено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Указаны сроки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Привлечение дополнительного финансирования за счет средств общеобразовательной организации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Наличие/отсутствие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Объем дополнительных источников финансирования, рублей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Информационная насыщенность </w:t>
            </w:r>
            <w:r>
              <w:t xml:space="preserve">представленного проекта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Образовательная и методическая ценность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Представлено/не представлено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Полнота и завершенность информации, представленной в проекте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Представлено/не представлено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Перспективы дальнейшего развития проекта и его тиражирование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Представлено/не представлено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Инновационность представленного проекта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Новизна и оригинальность информации, представленной в проекте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Представлено/не представлено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6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36"/>
            </w:pPr>
            <w:r>
              <w:t xml:space="preserve">Уникальность проекта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Представлено/не представлено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t xml:space="preserve">Не предусмотрено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0"/>
        <w:jc w:val="both"/>
      </w:pPr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321695&amp;dst=100013" TargetMode="External"/><Relationship Id="rId9" Type="http://schemas.openxmlformats.org/officeDocument/2006/relationships/hyperlink" Target="https://login.consultant.ru/link/?req=doc&amp;base=LAW&amp;n=501480&amp;dst=1079" TargetMode="External"/><Relationship Id="rId10" Type="http://schemas.openxmlformats.org/officeDocument/2006/relationships/hyperlink" Target="https://login.consultant.ru/link/?req=doc&amp;base=LAW&amp;n=501480&amp;dst=1080" TargetMode="External"/><Relationship Id="rId11" Type="http://schemas.openxmlformats.org/officeDocument/2006/relationships/hyperlink" Target="https://login.consultant.ru/link/?req=doc&amp;base=LAW&amp;n=501480&amp;dst=1081" TargetMode="External"/><Relationship Id="rId12" Type="http://schemas.openxmlformats.org/officeDocument/2006/relationships/hyperlink" Target="https://login.consultant.ru/link/?req=doc&amp;base=SPB&amp;n=308870&amp;dst=100449" TargetMode="External"/><Relationship Id="rId13" Type="http://schemas.openxmlformats.org/officeDocument/2006/relationships/hyperlink" Target="https://login.consultant.ru/link/?req=doc&amp;base=SPB&amp;n=308870&amp;dst=100636" TargetMode="External"/><Relationship Id="rId14" Type="http://schemas.openxmlformats.org/officeDocument/2006/relationships/hyperlink" Target="https://login.consultant.ru/link/?req=doc&amp;base=SPB&amp;n=308870&amp;dst=100523" TargetMode="External"/><Relationship Id="rId15" Type="http://schemas.openxmlformats.org/officeDocument/2006/relationships/hyperlink" Target="https://login.consultant.ru/link/?req=doc&amp;base=SPB&amp;n=308870&amp;dst=100674" TargetMode="External"/><Relationship Id="rId16" Type="http://schemas.openxmlformats.org/officeDocument/2006/relationships/hyperlink" Target="https://login.consultant.ru/link/?req=doc&amp;base=SPB&amp;n=308870&amp;dst=10054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Хватцева Лилия Алексеевна</dc:creator>
  <cp:lastModifiedBy>am_bublei</cp:lastModifiedBy>
  <cp:revision>3</cp:revision>
  <dcterms:created xsi:type="dcterms:W3CDTF">2026-03-02T10:46:00Z</dcterms:created>
  <dcterms:modified xsi:type="dcterms:W3CDTF">2026-04-03T13:22:39Z</dcterms:modified>
</cp:coreProperties>
</file>