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8D" w:rsidRDefault="000A668D">
      <w:pPr>
        <w:pStyle w:val="ConsPlusNormal"/>
        <w:jc w:val="right"/>
        <w:outlineLvl w:val="1"/>
      </w:pPr>
      <w:r>
        <w:t>Приложение 6</w:t>
      </w:r>
    </w:p>
    <w:p w:rsidR="000A668D" w:rsidRDefault="000A668D">
      <w:pPr>
        <w:pStyle w:val="ConsPlusNormal"/>
        <w:jc w:val="right"/>
      </w:pPr>
      <w:r>
        <w:t>к государственной программе...</w:t>
      </w:r>
    </w:p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</w:pPr>
      <w:bookmarkStart w:id="0" w:name="P755"/>
      <w:bookmarkEnd w:id="0"/>
      <w:r>
        <w:t>ПОРЯДОК</w:t>
      </w:r>
    </w:p>
    <w:p w:rsidR="000A668D" w:rsidRDefault="000A668D">
      <w:pPr>
        <w:pStyle w:val="ConsPlusTitle"/>
        <w:jc w:val="center"/>
      </w:pPr>
      <w:r>
        <w:t xml:space="preserve">ПРЕДОСТАВЛЕНИЯ И РАСПРЕДЕЛЕНИЯ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0A668D" w:rsidRDefault="000A668D">
      <w:pPr>
        <w:pStyle w:val="ConsPlusTitle"/>
        <w:jc w:val="center"/>
      </w:pPr>
      <w:r>
        <w:t xml:space="preserve">БЮДЖЕТА ЛЕНИНГРАДСКОЙ ОБЛАСТИ БЮДЖЕТАМ </w:t>
      </w:r>
      <w:proofErr w:type="gramStart"/>
      <w:r>
        <w:t>МУНИЦИПАЛЬНЫХ</w:t>
      </w:r>
      <w:proofErr w:type="gramEnd"/>
    </w:p>
    <w:p w:rsidR="000A668D" w:rsidRDefault="000A668D">
      <w:pPr>
        <w:pStyle w:val="ConsPlusTitle"/>
        <w:jc w:val="center"/>
      </w:pPr>
      <w:r>
        <w:t xml:space="preserve">ОБРАЗОВАНИЙ ЛЕНИНГРАДСКОЙ ОБЛАСТИ НА </w:t>
      </w:r>
      <w:proofErr w:type="gramStart"/>
      <w:r>
        <w:t>МАТЕРИАЛЬНО-ТЕХНИЧЕСКОЕ</w:t>
      </w:r>
      <w:proofErr w:type="gramEnd"/>
    </w:p>
    <w:p w:rsidR="000A668D" w:rsidRDefault="000A668D">
      <w:pPr>
        <w:pStyle w:val="ConsPlusTitle"/>
        <w:jc w:val="center"/>
      </w:pPr>
      <w:r>
        <w:t>ОБЕСПЕЧЕНИЕ МНОГОФУНКЦИОНАЛЬНЫХ МОЛОДЕЖНЫХ ЦЕНТРОВ</w:t>
      </w:r>
    </w:p>
    <w:p w:rsidR="000A668D" w:rsidRDefault="000A66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66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68D" w:rsidRDefault="000A66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68D" w:rsidRDefault="000A66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68D" w:rsidRDefault="000A66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68D" w:rsidRDefault="000A66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0A668D" w:rsidRDefault="000A668D">
            <w:pPr>
              <w:pStyle w:val="ConsPlusNormal"/>
              <w:jc w:val="center"/>
            </w:pPr>
            <w:r>
              <w:rPr>
                <w:color w:val="392C69"/>
              </w:rPr>
              <w:t>от 05.04.2024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68D" w:rsidRDefault="000A668D">
            <w:pPr>
              <w:pStyle w:val="ConsPlusNormal"/>
            </w:pPr>
          </w:p>
        </w:tc>
      </w:tr>
    </w:tbl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  <w:outlineLvl w:val="2"/>
      </w:pPr>
      <w:r>
        <w:t>1. Общие положения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цели, условия и порядок предоставления и распределения субсидии за счет средств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материально-техническое обеспечение многофункциональных молодежных центров в рамках комплекса процессных мероприятий "Создание условий и возможностей для социализации и самореализации молодежи" государственной программы Ленинградской области "Устойчивое общественное развитие в Ленинградской области" (далее</w:t>
      </w:r>
      <w:proofErr w:type="gramEnd"/>
      <w:r>
        <w:t xml:space="preserve"> - субсидия).</w:t>
      </w:r>
    </w:p>
    <w:p w:rsidR="000A668D" w:rsidRDefault="000A668D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05.04.2024 N 232)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возникших при осуществлении полномочий органов местного самоуправления поселений, муниципальных районов, муниципального, городского округа по вопросам местного значения 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</w:t>
      </w:r>
      <w:proofErr w:type="gramEnd"/>
      <w:r>
        <w:t xml:space="preserve"> направлениям реализации молодежной политики, организация и осуществление мониторинга реализации молодежной политики в соответствии с </w:t>
      </w:r>
      <w:hyperlink r:id="rId7">
        <w:r>
          <w:rPr>
            <w:color w:val="0000FF"/>
          </w:rPr>
          <w:t>пунктом 30 части 1 статьи 14</w:t>
        </w:r>
      </w:hyperlink>
      <w:r>
        <w:t xml:space="preserve">, </w:t>
      </w:r>
      <w:hyperlink r:id="rId8">
        <w:r>
          <w:rPr>
            <w:color w:val="0000FF"/>
          </w:rPr>
          <w:t>пунктом 27 части 1 статьи 15</w:t>
        </w:r>
      </w:hyperlink>
      <w:r>
        <w:t xml:space="preserve">, </w:t>
      </w:r>
      <w:hyperlink r:id="rId9">
        <w:r>
          <w:rPr>
            <w:color w:val="0000FF"/>
          </w:rPr>
          <w:t>пунктом 34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A668D" w:rsidRDefault="000A668D">
      <w:pPr>
        <w:pStyle w:val="ConsPlusNormal"/>
        <w:jc w:val="both"/>
      </w:pPr>
      <w:r>
        <w:t xml:space="preserve">(п. 1.3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05.04.2024 N 232)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1.4. В целях настоящего Порядка применяются следующие понятия: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gramStart"/>
      <w:r>
        <w:t>многофункциональный молодежный центр - организованное пространство, оснащенное оборудованными рабочими местами, сдаваемое в аренду (в том числе безвозмездную) на определенный срок (час, день, неделю, но не более 30 дней подряд), с необходимым для организации и ведения обучающей, образовательной, добровольческой, предпринимательской, общественной деятельности набором услуг, оказываемых на его территории;</w:t>
      </w:r>
      <w:proofErr w:type="gramEnd"/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управление многофункциональным молодежным центром - деятельность муниципального образования - получателя средств областного бюджета на цели создания многофункциональных </w:t>
      </w:r>
      <w:r>
        <w:lastRenderedPageBreak/>
        <w:t>молодежных центров на территории Ленинградской области, направленная на обеспечение функционирования многофункционального молодежного центра и выполнения поставленных перед ним задач.</w:t>
      </w:r>
    </w:p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 xml:space="preserve">2.1. </w:t>
      </w:r>
      <w:proofErr w:type="gramStart"/>
      <w:r>
        <w:t>Субсидия предоставляется в целях формирования благоприятных условий для всестороннего развития детей и молодежи, развития общественных объединений, деятельность которых связана с реализацией государственной молодежной политики на территории Ленинградской области, а также стимулирования молодежной предпринимательской активности на территории Ленинградской области путем создания инфраструктуры для реализации мероприятий по работе с молодежью на территориях муниципальных образований.</w:t>
      </w:r>
      <w:proofErr w:type="gramEnd"/>
    </w:p>
    <w:p w:rsidR="000A668D" w:rsidRDefault="000A668D">
      <w:pPr>
        <w:pStyle w:val="ConsPlusNormal"/>
        <w:spacing w:before="220"/>
        <w:ind w:firstLine="540"/>
        <w:jc w:val="both"/>
      </w:pPr>
      <w:r>
        <w:t>2.2. Результатом использования субсидии является увеличение количества многофункциональных молодежных центров, отвечающих стандарту деятельности многофункциональных молодежных центров (далее - стандарт), на территории муниципальных образований. Стандарт утверждается нормативным правовым актом комитета.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11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2.4.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 в соответствии с требованиями </w:t>
      </w:r>
      <w:hyperlink r:id="rId12">
        <w:r>
          <w:rPr>
            <w:color w:val="0000FF"/>
          </w:rPr>
          <w:t>пунктов 4.1</w:t>
        </w:r>
      </w:hyperlink>
      <w:r>
        <w:t xml:space="preserve"> и </w:t>
      </w:r>
      <w:hyperlink r:id="rId13">
        <w:r>
          <w:rPr>
            <w:color w:val="0000FF"/>
          </w:rPr>
          <w:t>4.2</w:t>
        </w:r>
      </w:hyperlink>
      <w:r>
        <w:t xml:space="preserve"> Правил.</w:t>
      </w:r>
    </w:p>
    <w:p w:rsidR="000A668D" w:rsidRDefault="000A668D">
      <w:pPr>
        <w:pStyle w:val="ConsPlusNormal"/>
        <w:spacing w:before="220"/>
        <w:ind w:firstLine="540"/>
        <w:jc w:val="both"/>
      </w:pPr>
      <w:bookmarkStart w:id="1" w:name="P782"/>
      <w:bookmarkEnd w:id="1"/>
      <w:r>
        <w:t>2.5. Критерием отбора муниципальных образований для допуска к оценке заявок на предоставление субсидии (далее - заявка) является наличие многофункционального молодежного центра на территории муниципального образования, площадь помещения которого составляет не менее 100 квадратных метров.</w:t>
      </w:r>
    </w:p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  <w:outlineLvl w:val="2"/>
      </w:pPr>
      <w:bookmarkStart w:id="2" w:name="P784"/>
      <w:bookmarkEnd w:id="2"/>
      <w:r>
        <w:t>3. Порядок проведения отбора муниципальных образований</w:t>
      </w:r>
    </w:p>
    <w:p w:rsidR="000A668D" w:rsidRDefault="000A668D">
      <w:pPr>
        <w:pStyle w:val="ConsPlusTitle"/>
        <w:jc w:val="center"/>
      </w:pPr>
      <w:r>
        <w:t>для предоставления субсидии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основе оценки заявок муниципальных образований.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Субсидия за счет средств областного бюджета бюджетам муниципальных образований на материально-техническое обеспечение одного многофункционального молодежного центра предоставляется однократно.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Муниципальное образование вправе подать не более одной заявки на участие в отборе в течение одного года.</w:t>
      </w:r>
    </w:p>
    <w:p w:rsidR="000A668D" w:rsidRDefault="000A668D">
      <w:pPr>
        <w:pStyle w:val="ConsPlusNormal"/>
        <w:spacing w:before="220"/>
        <w:ind w:firstLine="540"/>
        <w:jc w:val="both"/>
      </w:pPr>
      <w:bookmarkStart w:id="3" w:name="P790"/>
      <w:bookmarkEnd w:id="3"/>
      <w:r>
        <w:t>3.2. Комитет публикует на официальном сайте комитета в информационно-телекоммуникационной сети "Интернет" объявление о начале приема заявок (далее - объявление).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Комитет в письменной форме информирует администрации муниципальных образований о </w:t>
      </w:r>
      <w:r>
        <w:lastRenderedPageBreak/>
        <w:t>дате размещения объявления.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Прием заявок осуществляется комитетом в течение 15 рабочих дней со дня опубликования объявления. Указанный срок приема заявок фиксируется в объявлении.</w:t>
      </w:r>
    </w:p>
    <w:p w:rsidR="000A668D" w:rsidRDefault="000A668D">
      <w:pPr>
        <w:pStyle w:val="ConsPlusNormal"/>
        <w:spacing w:before="220"/>
        <w:ind w:firstLine="540"/>
        <w:jc w:val="both"/>
      </w:pPr>
      <w:bookmarkStart w:id="4" w:name="P793"/>
      <w:bookmarkEnd w:id="4"/>
      <w:r>
        <w:t>3.3. Муниципальные образования для участия в отборе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копии правового акта муниципального образования об утверждении муниципальной программы, включающей мероприятия по обеспечению деятельности многофункциональных молодежных центров или проекта правового акта, которым будет утверждена такая муниципальная программа, и гарантийного письма от муниципального образования по утверждению муниципальной программы, оформленного за подписью главы администрации муниципального образования;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обоснования необходимости реализации проекта "Многофункциональный молодежный центр" на территории муниципального образования;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копии правоустанавливающего документа на нежилое помещение (договора аренды), заверенной в установленном порядке;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плана мероприятий по реализации проекта "Многофункциональный молодежный центр" в соответствии со стандартом.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3.4.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0A668D" w:rsidRDefault="000A668D">
      <w:pPr>
        <w:pStyle w:val="ConsPlusNormal"/>
        <w:spacing w:before="220"/>
        <w:ind w:firstLine="540"/>
        <w:jc w:val="both"/>
      </w:pPr>
      <w:bookmarkStart w:id="5" w:name="P799"/>
      <w:bookmarkEnd w:id="5"/>
      <w:r>
        <w:t>Отбор муниципальных образований осуществляется в году, предшествующем году предоставления субсидии.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3.5. Рассмотрение заявок осуществляется конкурсной комиссией в течение 30 дней со дня, следующего за днем окончания приема заявок, указанным в объявлении.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Положение о конкурсной комиссии утверждается нормативным правовым актом комитета, состав конкурсной комиссии утверждается правовым актом комитета.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3.6. Основаниями для отклонения заявки являются: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782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793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сроков, установленных </w:t>
      </w:r>
      <w:hyperlink w:anchor="P790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3.7. Критерием оценки заявок является количество проведенных в течение года, предшествующего году подачи заявки, мероприятий на базе многофункциональных молодежных центров.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3.8. Оценка заявок муниципальных образований осуществляется в следующем порядке:</w:t>
      </w:r>
    </w:p>
    <w:p w:rsidR="000A668D" w:rsidRDefault="000A668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913"/>
        <w:gridCol w:w="3118"/>
      </w:tblGrid>
      <w:tr w:rsidR="000A668D">
        <w:tc>
          <w:tcPr>
            <w:tcW w:w="3039" w:type="dxa"/>
          </w:tcPr>
          <w:p w:rsidR="000A668D" w:rsidRDefault="000A668D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 xml:space="preserve">Количество проведенных </w:t>
            </w:r>
            <w:r>
              <w:lastRenderedPageBreak/>
              <w:t>мероприятий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lastRenderedPageBreak/>
              <w:t xml:space="preserve">Количество баллов </w:t>
            </w:r>
            <w:r>
              <w:lastRenderedPageBreak/>
              <w:t>(максимально 100 баллов)</w:t>
            </w:r>
          </w:p>
        </w:tc>
      </w:tr>
      <w:tr w:rsidR="000A668D">
        <w:tc>
          <w:tcPr>
            <w:tcW w:w="3039" w:type="dxa"/>
            <w:vMerge w:val="restart"/>
          </w:tcPr>
          <w:p w:rsidR="000A668D" w:rsidRDefault="000A668D">
            <w:pPr>
              <w:pStyle w:val="ConsPlusNormal"/>
            </w:pPr>
            <w:r>
              <w:lastRenderedPageBreak/>
              <w:t>Количество проведенных в течение года, предшествующего году подачи заявки, мероприятий на базе многофункциональных молодежных центров</w:t>
            </w: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0</w:t>
            </w:r>
          </w:p>
        </w:tc>
      </w:tr>
      <w:tr w:rsidR="000A668D">
        <w:tc>
          <w:tcPr>
            <w:tcW w:w="3039" w:type="dxa"/>
            <w:vMerge/>
          </w:tcPr>
          <w:p w:rsidR="000A668D" w:rsidRDefault="000A668D">
            <w:pPr>
              <w:pStyle w:val="ConsPlusNormal"/>
            </w:pP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20</w:t>
            </w:r>
          </w:p>
        </w:tc>
      </w:tr>
      <w:tr w:rsidR="000A668D">
        <w:tc>
          <w:tcPr>
            <w:tcW w:w="3039" w:type="dxa"/>
            <w:vMerge/>
          </w:tcPr>
          <w:p w:rsidR="000A668D" w:rsidRDefault="000A668D">
            <w:pPr>
              <w:pStyle w:val="ConsPlusNormal"/>
            </w:pP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6-10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40</w:t>
            </w:r>
          </w:p>
        </w:tc>
      </w:tr>
      <w:tr w:rsidR="000A668D">
        <w:tc>
          <w:tcPr>
            <w:tcW w:w="3039" w:type="dxa"/>
            <w:vMerge/>
          </w:tcPr>
          <w:p w:rsidR="000A668D" w:rsidRDefault="000A668D">
            <w:pPr>
              <w:pStyle w:val="ConsPlusNormal"/>
            </w:pP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60</w:t>
            </w:r>
          </w:p>
        </w:tc>
      </w:tr>
      <w:tr w:rsidR="000A668D">
        <w:tc>
          <w:tcPr>
            <w:tcW w:w="3039" w:type="dxa"/>
            <w:vMerge/>
          </w:tcPr>
          <w:p w:rsidR="000A668D" w:rsidRDefault="000A668D">
            <w:pPr>
              <w:pStyle w:val="ConsPlusNormal"/>
            </w:pP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80</w:t>
            </w:r>
          </w:p>
        </w:tc>
      </w:tr>
      <w:tr w:rsidR="000A668D">
        <w:tc>
          <w:tcPr>
            <w:tcW w:w="3039" w:type="dxa"/>
            <w:vMerge/>
          </w:tcPr>
          <w:p w:rsidR="000A668D" w:rsidRDefault="000A668D">
            <w:pPr>
              <w:pStyle w:val="ConsPlusNormal"/>
            </w:pPr>
          </w:p>
        </w:tc>
        <w:tc>
          <w:tcPr>
            <w:tcW w:w="2913" w:type="dxa"/>
          </w:tcPr>
          <w:p w:rsidR="000A668D" w:rsidRDefault="000A668D">
            <w:pPr>
              <w:pStyle w:val="ConsPlusNormal"/>
              <w:jc w:val="center"/>
            </w:pPr>
            <w:r>
              <w:t>21-25</w:t>
            </w:r>
          </w:p>
        </w:tc>
        <w:tc>
          <w:tcPr>
            <w:tcW w:w="3118" w:type="dxa"/>
          </w:tcPr>
          <w:p w:rsidR="000A668D" w:rsidRDefault="000A668D">
            <w:pPr>
              <w:pStyle w:val="ConsPlusNormal"/>
              <w:jc w:val="center"/>
            </w:pPr>
            <w:r>
              <w:t>100</w:t>
            </w:r>
          </w:p>
        </w:tc>
      </w:tr>
    </w:tbl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 xml:space="preserve">3.9. По итогам оценки заявок составляется список муниципальных образований в порядке убывания баллов от большего к </w:t>
      </w:r>
      <w:proofErr w:type="gramStart"/>
      <w:r>
        <w:t>меньшему</w:t>
      </w:r>
      <w:proofErr w:type="gramEnd"/>
      <w:r>
        <w:t xml:space="preserve"> (сводная оценка заявок).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Заявки муниципальных образований, набравшие одинаковое количество баллов, ранжируются по дате подачи заявки - </w:t>
      </w:r>
      <w:proofErr w:type="gramStart"/>
      <w:r>
        <w:t>от</w:t>
      </w:r>
      <w:proofErr w:type="gramEnd"/>
      <w:r>
        <w:t xml:space="preserve"> более ранней к более поздней.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3.10. Победителями признаются муниципальные образования, набравшие наибольшее количество баллов. Количество победителей определяется исходя из объема бюджетных ассигнований, предусмотренных комитету на </w:t>
      </w:r>
      <w:proofErr w:type="spellStart"/>
      <w:r>
        <w:t>софинансирование</w:t>
      </w:r>
      <w:proofErr w:type="spellEnd"/>
      <w:r>
        <w:t xml:space="preserve"> соответствующих расходных обязательств.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3.11. Решение конкурсной комиссии оформляется протоколом в течение пяти рабочих дней </w:t>
      </w:r>
      <w:proofErr w:type="gramStart"/>
      <w:r>
        <w:t>с даты проведения</w:t>
      </w:r>
      <w:proofErr w:type="gramEnd"/>
      <w:r>
        <w:t xml:space="preserve"> заседания конкурсной комиссии.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информационно-телекоммуникационной сети "Интернет" и подготавливает предложения по распределению субсидии.</w:t>
      </w:r>
    </w:p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  <w:outlineLvl w:val="2"/>
      </w:pPr>
      <w:r>
        <w:t>4. Методика распределения субсидии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bookmarkStart w:id="6" w:name="P835"/>
      <w:bookmarkEnd w:id="6"/>
      <w:r>
        <w:t>4.1. Распределение субсидии осуществляется исходя из заявок муниципальных образований по формуле: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>где: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  <w:proofErr w:type="gramEnd"/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>4.2. Распределение субсидии утверждается областным законом об областном бюджете Ленинградской области.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4.3. Утвержденный для муниципального образования объем субсидии может быть пересмотрен: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lastRenderedPageBreak/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при распределении нераспределенного объема субсидии;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при отказе муниципального образования от заключения соглашения.</w:t>
      </w:r>
    </w:p>
    <w:p w:rsidR="000A668D" w:rsidRDefault="000A668D">
      <w:pPr>
        <w:pStyle w:val="ConsPlusNormal"/>
        <w:spacing w:before="220"/>
        <w:ind w:firstLine="540"/>
        <w:jc w:val="both"/>
      </w:pPr>
      <w:bookmarkStart w:id="7" w:name="P850"/>
      <w:bookmarkEnd w:id="7"/>
      <w:r>
        <w:t xml:space="preserve">4.4. В случае увеличения общего объема бюджетных ассигнований областного бюджета, предусмотренных комитету для предоставления субсидий на текущий финансовый год, </w:t>
      </w:r>
      <w:proofErr w:type="gramStart"/>
      <w:r>
        <w:t>и(</w:t>
      </w:r>
      <w:proofErr w:type="gramEnd"/>
      <w:r>
        <w:t>или) отказа получателя субсидии от части субсидии в текущем году дополнительный объем финансирования и(или) высвободившиеся средства подлежат перераспределению между получателями субсидий, заключившими с комитетом соглашение (при наличии потребности у одного или нескольких получателей субсидии).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в результате увеличения общего объема бюджетных ассигнований областного бюджета, предусмотренных комитету для предоставления субсидий на текущий финансовый год, </w:t>
      </w:r>
      <w:proofErr w:type="gramStart"/>
      <w:r>
        <w:t>и(</w:t>
      </w:r>
      <w:proofErr w:type="gramEnd"/>
      <w:r>
        <w:t>или) перераспределения высвободившихся средств, определяется по следующей формуле: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875790" cy="4610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>где: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Vдоп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в результате увеличения общего объема бюджетных ассигнований областного бюджета, предусмотренных комитету для предоставления субсидий на текущий финансовый год, </w:t>
      </w:r>
      <w:proofErr w:type="gramStart"/>
      <w:r>
        <w:t>и(</w:t>
      </w:r>
      <w:proofErr w:type="gramEnd"/>
      <w:r>
        <w:t>или) перераспределения высвободившихся средств;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Vдо</w:t>
      </w:r>
      <w:proofErr w:type="gramStart"/>
      <w:r>
        <w:t>п</w:t>
      </w:r>
      <w:proofErr w:type="spellEnd"/>
      <w:r>
        <w:t>(</w:t>
      </w:r>
      <w:proofErr w:type="gramEnd"/>
      <w:r>
        <w:t>н)</w:t>
      </w:r>
      <w:r>
        <w:rPr>
          <w:vertAlign w:val="subscript"/>
        </w:rPr>
        <w:t>i</w:t>
      </w:r>
      <w:r>
        <w:t xml:space="preserve"> - объем средств, необходимых для выполнения обязательств, не обеспеченных финансированием в результате распределения по формуле, указанной в </w:t>
      </w:r>
      <w:hyperlink w:anchor="P835">
        <w:r>
          <w:rPr>
            <w:color w:val="0000FF"/>
          </w:rPr>
          <w:t>пункте 4.1</w:t>
        </w:r>
      </w:hyperlink>
      <w:r>
        <w:t xml:space="preserve"> настоящего Порядка, i-</w:t>
      </w:r>
      <w:proofErr w:type="spellStart"/>
      <w:r>
        <w:t>го</w:t>
      </w:r>
      <w:proofErr w:type="spellEnd"/>
      <w:r>
        <w:t xml:space="preserve"> муниципального образования в текущем финансовом году;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Vдо</w:t>
      </w:r>
      <w:proofErr w:type="gramStart"/>
      <w:r>
        <w:t>п</w:t>
      </w:r>
      <w:proofErr w:type="spellEnd"/>
      <w:r>
        <w:t>(</w:t>
      </w:r>
      <w:proofErr w:type="gramEnd"/>
      <w:r>
        <w:t xml:space="preserve">н) - общий объем дополнительных средств, необходимых для выполнения обязательств всех получателей субсидий в текущем финансовом году, не обеспеченных финансированием в результате распределения по формуле, указанной в </w:t>
      </w:r>
      <w:hyperlink w:anchor="P835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spellStart"/>
      <w:r>
        <w:t>Vдоп</w:t>
      </w:r>
      <w:proofErr w:type="spellEnd"/>
      <w:r>
        <w:t xml:space="preserve"> - увеличенный общий объем бюджетных ассигнований областного бюджета, предусмотренных комитету для предоставления субсидий на текущий финансовый год, </w:t>
      </w:r>
      <w:proofErr w:type="gramStart"/>
      <w:r>
        <w:t>и(</w:t>
      </w:r>
      <w:proofErr w:type="gramEnd"/>
      <w:r>
        <w:t>или) объем высвободившихся средств в текущем финансовом году.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 xml:space="preserve">В целях предоставления субсидии в результате увеличения общего объема бюджетных ассигнований областного бюджета, предусмотренных комитету для предоставления субсидий на текущий финансовый год, </w:t>
      </w:r>
      <w:proofErr w:type="gramStart"/>
      <w:r>
        <w:t>и(</w:t>
      </w:r>
      <w:proofErr w:type="gramEnd"/>
      <w:r>
        <w:t>или) перераспределения высвободившихся средств между комитетом и получателем субсидии заключается дополнительное соглашение.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4.5. Комитет объявляет о дополнительном конкурсном отборе муниципальных образований для предоставления субсидии в следующих случаях (за исключением случаев, указанных в </w:t>
      </w:r>
      <w:hyperlink w:anchor="P850">
        <w:r>
          <w:rPr>
            <w:color w:val="0000FF"/>
          </w:rPr>
          <w:t>пункте 4.4</w:t>
        </w:r>
      </w:hyperlink>
      <w:r>
        <w:t xml:space="preserve"> настоящего Порядка):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увеличения общего объема бюджетных ассигнований областного бюджета, </w:t>
      </w:r>
      <w:r>
        <w:lastRenderedPageBreak/>
        <w:t>предусмотренного для предоставления субсидии;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распределения нераспределенного объема субсидии.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Дополнительный конкурсный отбор осуществляется в соответствии с </w:t>
      </w:r>
      <w:hyperlink w:anchor="P784">
        <w:r>
          <w:rPr>
            <w:color w:val="0000FF"/>
          </w:rPr>
          <w:t>разделом 3</w:t>
        </w:r>
      </w:hyperlink>
      <w:r>
        <w:t xml:space="preserve"> настоящего Порядка (без учета положений </w:t>
      </w:r>
      <w:hyperlink w:anchor="P799">
        <w:r>
          <w:rPr>
            <w:color w:val="0000FF"/>
          </w:rPr>
          <w:t>абзаца второго пункта 3.4</w:t>
        </w:r>
      </w:hyperlink>
      <w:r>
        <w:t xml:space="preserve">, </w:t>
      </w:r>
      <w:hyperlink w:anchor="P850">
        <w:r>
          <w:rPr>
            <w:color w:val="0000FF"/>
          </w:rPr>
          <w:t>пункта 4.4</w:t>
        </w:r>
      </w:hyperlink>
      <w:r>
        <w:t xml:space="preserve"> настоящего Порядка).</w:t>
      </w:r>
    </w:p>
    <w:p w:rsidR="000A668D" w:rsidRDefault="000A668D">
      <w:pPr>
        <w:pStyle w:val="ConsPlusNormal"/>
      </w:pPr>
    </w:p>
    <w:p w:rsidR="000A668D" w:rsidRDefault="000A668D">
      <w:pPr>
        <w:pStyle w:val="ConsPlusTitle"/>
        <w:jc w:val="center"/>
        <w:outlineLvl w:val="2"/>
      </w:pPr>
      <w:r>
        <w:t>5. Порядок предоставления и перечисления субсидии</w:t>
      </w:r>
    </w:p>
    <w:p w:rsidR="000A668D" w:rsidRDefault="000A668D">
      <w:pPr>
        <w:pStyle w:val="ConsPlusNormal"/>
      </w:pPr>
    </w:p>
    <w:p w:rsidR="000A668D" w:rsidRDefault="000A668D">
      <w:pPr>
        <w:pStyle w:val="ConsPlusNormal"/>
        <w:ind w:firstLine="540"/>
        <w:jc w:val="both"/>
      </w:pPr>
      <w:r>
        <w:t>5.1. На основании утвержденного распределения субсидий между муниципальными образованиями заключается соглашение.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5.2. Предоставление субсидии осуществляется на основании соглашения о предоставлении субсидии (далее - соглашение), заключаемого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за исключением соглашений, предусматривающих предоставление субсидий с учетом средств федерального бюджета.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5.3. Перечисление субсидий осуществляется комитетом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При перечислении субсидии </w:t>
      </w:r>
      <w:proofErr w:type="gramStart"/>
      <w: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является</w:t>
      </w:r>
      <w:proofErr w:type="gramEnd"/>
      <w:r>
        <w:t xml:space="preserve"> субсидия,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>
        <w:t>с даты поступления</w:t>
      </w:r>
      <w:proofErr w:type="gramEnd"/>
      <w:r>
        <w:t xml:space="preserve"> оформленного надлежащим образом платежного документа.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5.4.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включает платежные поручения, счета, счета-фактуры, акты приемки выполненных работ, товарные накладные, муниципальные контракты, договоры и иные документы, подтверждающие расходы.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5.5.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5.6.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5.7.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0A668D" w:rsidRDefault="000A668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</w:t>
      </w:r>
      <w:r>
        <w:lastRenderedPageBreak/>
        <w:t>Российской Федерации.</w:t>
      </w:r>
    </w:p>
    <w:p w:rsidR="000A668D" w:rsidRDefault="000A668D">
      <w:pPr>
        <w:pStyle w:val="ConsPlusNormal"/>
        <w:spacing w:before="220"/>
        <w:ind w:firstLine="540"/>
        <w:jc w:val="both"/>
      </w:pPr>
      <w:r>
        <w:t>5.8.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0A668D" w:rsidRDefault="000A668D" w:rsidP="000A668D">
      <w:pPr>
        <w:pStyle w:val="ConsPlusNormal"/>
        <w:spacing w:before="220"/>
        <w:ind w:firstLine="540"/>
        <w:jc w:val="both"/>
      </w:pPr>
      <w:r>
        <w:t xml:space="preserve">5.9.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значения результата использования субсидии к нему применяются меры ответственности, предусмотренные </w:t>
      </w:r>
      <w:hyperlink r:id="rId15">
        <w:r>
          <w:rPr>
            <w:color w:val="0000FF"/>
          </w:rPr>
          <w:t>разделом 5</w:t>
        </w:r>
      </w:hyperlink>
      <w:r>
        <w:t xml:space="preserve"> Правил.</w:t>
      </w:r>
      <w:bookmarkStart w:id="8" w:name="_GoBack"/>
      <w:bookmarkEnd w:id="8"/>
    </w:p>
    <w:sectPr w:rsidR="000A668D" w:rsidSect="0063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8D"/>
    <w:rsid w:val="000A668D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66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66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80" TargetMode="External"/><Relationship Id="rId13" Type="http://schemas.openxmlformats.org/officeDocument/2006/relationships/hyperlink" Target="https://login.consultant.ru/link/?req=doc&amp;base=SPB&amp;n=282998&amp;dst=100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1079" TargetMode="External"/><Relationship Id="rId12" Type="http://schemas.openxmlformats.org/officeDocument/2006/relationships/hyperlink" Target="https://login.consultant.ru/link/?req=doc&amp;base=SPB&amp;n=282998&amp;dst=10063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0022&amp;dst=100019" TargetMode="External"/><Relationship Id="rId11" Type="http://schemas.openxmlformats.org/officeDocument/2006/relationships/hyperlink" Target="https://login.consultant.ru/link/?req=doc&amp;base=SPB&amp;n=282998&amp;dst=100449" TargetMode="External"/><Relationship Id="rId5" Type="http://schemas.openxmlformats.org/officeDocument/2006/relationships/hyperlink" Target="https://login.consultant.ru/link/?req=doc&amp;base=SPB&amp;n=290022&amp;dst=100018" TargetMode="External"/><Relationship Id="rId15" Type="http://schemas.openxmlformats.org/officeDocument/2006/relationships/hyperlink" Target="https://login.consultant.ru/link/?req=doc&amp;base=SPB&amp;n=282998&amp;dst=100547" TargetMode="External"/><Relationship Id="rId10" Type="http://schemas.openxmlformats.org/officeDocument/2006/relationships/hyperlink" Target="https://login.consultant.ru/link/?req=doc&amp;base=SPB&amp;n=290022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081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Мария Сергеевна БОГДАНОВА</cp:lastModifiedBy>
  <cp:revision>1</cp:revision>
  <dcterms:created xsi:type="dcterms:W3CDTF">2024-05-27T13:02:00Z</dcterms:created>
  <dcterms:modified xsi:type="dcterms:W3CDTF">2024-05-27T13:05:00Z</dcterms:modified>
</cp:coreProperties>
</file>