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D3D" w:rsidRDefault="00390D3D" w:rsidP="00390D3D">
      <w:pPr>
        <w:ind w:firstLine="708"/>
        <w:jc w:val="center"/>
        <w:rPr>
          <w:b/>
          <w:szCs w:val="28"/>
        </w:rPr>
      </w:pPr>
      <w:r>
        <w:rPr>
          <w:b/>
          <w:szCs w:val="28"/>
        </w:rPr>
        <w:t xml:space="preserve">Информация </w:t>
      </w:r>
    </w:p>
    <w:p w:rsidR="00390D3D" w:rsidRDefault="00390D3D" w:rsidP="00390D3D">
      <w:pPr>
        <w:ind w:firstLine="708"/>
        <w:jc w:val="center"/>
        <w:rPr>
          <w:b/>
          <w:szCs w:val="28"/>
        </w:rPr>
      </w:pPr>
      <w:r>
        <w:rPr>
          <w:b/>
          <w:szCs w:val="28"/>
        </w:rPr>
        <w:t>о</w:t>
      </w:r>
      <w:r w:rsidRPr="00390D3D">
        <w:rPr>
          <w:b/>
          <w:szCs w:val="28"/>
        </w:rPr>
        <w:t xml:space="preserve"> выявлении и оценке рисков нарушения антимонопольного законодательства</w:t>
      </w:r>
      <w:r>
        <w:rPr>
          <w:b/>
          <w:szCs w:val="28"/>
        </w:rPr>
        <w:t xml:space="preserve">, </w:t>
      </w:r>
      <w:r w:rsidRPr="00390D3D">
        <w:rPr>
          <w:b/>
          <w:szCs w:val="28"/>
        </w:rPr>
        <w:t>о результатах исполнения дорожной карты</w:t>
      </w:r>
      <w:r>
        <w:rPr>
          <w:b/>
          <w:szCs w:val="28"/>
        </w:rPr>
        <w:t xml:space="preserve"> по снижению комплаенс-рисков, </w:t>
      </w:r>
      <w:r w:rsidRPr="00390D3D">
        <w:rPr>
          <w:b/>
          <w:szCs w:val="28"/>
        </w:rPr>
        <w:t xml:space="preserve">о достижении ключевых показателей эффективности функционирования антимонопольного </w:t>
      </w:r>
      <w:r>
        <w:rPr>
          <w:b/>
          <w:szCs w:val="28"/>
        </w:rPr>
        <w:t xml:space="preserve">комплаенса </w:t>
      </w:r>
    </w:p>
    <w:p w:rsidR="00DD6EF9" w:rsidRDefault="00390D3D" w:rsidP="00390D3D">
      <w:pPr>
        <w:ind w:firstLine="708"/>
        <w:jc w:val="center"/>
        <w:rPr>
          <w:b/>
          <w:szCs w:val="28"/>
        </w:rPr>
      </w:pPr>
      <w:r>
        <w:rPr>
          <w:b/>
          <w:szCs w:val="28"/>
        </w:rPr>
        <w:t>в комитете по молодежной политике Ленинградской области</w:t>
      </w:r>
      <w:r w:rsidR="00DD6EF9">
        <w:rPr>
          <w:b/>
          <w:szCs w:val="28"/>
        </w:rPr>
        <w:t xml:space="preserve"> </w:t>
      </w:r>
    </w:p>
    <w:p w:rsidR="0044589D" w:rsidRPr="00390D3D" w:rsidRDefault="00C94B82" w:rsidP="00390D3D">
      <w:pPr>
        <w:ind w:firstLine="708"/>
        <w:jc w:val="center"/>
        <w:rPr>
          <w:b/>
          <w:szCs w:val="28"/>
        </w:rPr>
      </w:pPr>
      <w:r>
        <w:rPr>
          <w:b/>
          <w:szCs w:val="28"/>
        </w:rPr>
        <w:t xml:space="preserve">в </w:t>
      </w:r>
      <w:r w:rsidR="009415C6">
        <w:rPr>
          <w:b/>
          <w:szCs w:val="28"/>
        </w:rPr>
        <w:t>202</w:t>
      </w:r>
      <w:r w:rsidR="009A4FF9">
        <w:rPr>
          <w:b/>
          <w:szCs w:val="28"/>
        </w:rPr>
        <w:t>5</w:t>
      </w:r>
      <w:r w:rsidR="00DD6EF9">
        <w:rPr>
          <w:b/>
          <w:szCs w:val="28"/>
        </w:rPr>
        <w:t xml:space="preserve"> год</w:t>
      </w:r>
      <w:r>
        <w:rPr>
          <w:b/>
          <w:szCs w:val="28"/>
        </w:rPr>
        <w:t>у</w:t>
      </w:r>
    </w:p>
    <w:p w:rsidR="00C94B82" w:rsidRDefault="00C94B82" w:rsidP="000E68D9">
      <w:pPr>
        <w:ind w:firstLine="709"/>
        <w:rPr>
          <w:szCs w:val="28"/>
        </w:rPr>
      </w:pPr>
    </w:p>
    <w:p w:rsidR="00C94B82" w:rsidRDefault="00C94B82" w:rsidP="00C94B82">
      <w:pPr>
        <w:ind w:firstLine="709"/>
        <w:rPr>
          <w:szCs w:val="28"/>
        </w:rPr>
      </w:pPr>
      <w:r w:rsidRPr="00C94B82">
        <w:rPr>
          <w:szCs w:val="28"/>
        </w:rPr>
        <w:t xml:space="preserve">Во исполнение постановления Правительства Ленинградской области от 28.02.2019 №84 «О создании и организации системы внутреннего обеспечения соответствия требованиям антимонопольного законодательства деятельности органов исполнительной власти Ленинградской области» в </w:t>
      </w:r>
      <w:r>
        <w:rPr>
          <w:szCs w:val="28"/>
        </w:rPr>
        <w:t>к</w:t>
      </w:r>
      <w:r w:rsidRPr="00C94B82">
        <w:rPr>
          <w:szCs w:val="28"/>
        </w:rPr>
        <w:t xml:space="preserve">омитете по </w:t>
      </w:r>
      <w:r>
        <w:rPr>
          <w:szCs w:val="28"/>
        </w:rPr>
        <w:t xml:space="preserve">молодежной политике </w:t>
      </w:r>
      <w:r w:rsidRPr="00C94B82">
        <w:rPr>
          <w:szCs w:val="28"/>
        </w:rPr>
        <w:t>Ленинградской области организована система внутреннего обеспечения соответствия требованиям антимонопольного законодательства.</w:t>
      </w:r>
    </w:p>
    <w:p w:rsidR="000A768F" w:rsidRDefault="003123FC" w:rsidP="000E68D9">
      <w:pPr>
        <w:ind w:firstLine="709"/>
        <w:rPr>
          <w:szCs w:val="28"/>
        </w:rPr>
      </w:pPr>
      <w:r w:rsidRPr="003123FC">
        <w:rPr>
          <w:szCs w:val="28"/>
        </w:rPr>
        <w:t>1. Информация о выявлении и оценке рисков нарушения ан</w:t>
      </w:r>
      <w:r>
        <w:rPr>
          <w:szCs w:val="28"/>
        </w:rPr>
        <w:t xml:space="preserve">тимонопольного законодательства. </w:t>
      </w:r>
    </w:p>
    <w:p w:rsidR="000A768F" w:rsidRDefault="000A768F" w:rsidP="000E68D9">
      <w:pPr>
        <w:ind w:firstLine="709"/>
        <w:rPr>
          <w:szCs w:val="28"/>
        </w:rPr>
      </w:pPr>
      <w:proofErr w:type="gramStart"/>
      <w:r w:rsidRPr="000A768F">
        <w:rPr>
          <w:szCs w:val="28"/>
        </w:rPr>
        <w:t xml:space="preserve">Информация об антимонопольном </w:t>
      </w:r>
      <w:proofErr w:type="spellStart"/>
      <w:r w:rsidRPr="000A768F">
        <w:rPr>
          <w:szCs w:val="28"/>
        </w:rPr>
        <w:t>комплаенсе</w:t>
      </w:r>
      <w:proofErr w:type="spellEnd"/>
      <w:r w:rsidRPr="000A768F">
        <w:rPr>
          <w:szCs w:val="28"/>
        </w:rPr>
        <w:t xml:space="preserve"> в Комитете размещена на официальной странице в информационно-телекоммуникационной сети «Интернет»</w:t>
      </w:r>
      <w:r>
        <w:rPr>
          <w:szCs w:val="28"/>
        </w:rPr>
        <w:t xml:space="preserve"> </w:t>
      </w:r>
      <w:hyperlink r:id="rId5" w:history="1">
        <w:r w:rsidRPr="00C333CE">
          <w:rPr>
            <w:rStyle w:val="a7"/>
            <w:szCs w:val="28"/>
          </w:rPr>
          <w:t>https://kmp.lenobl.ru/ru/program/antimonopolnyj-komplaens/</w:t>
        </w:r>
      </w:hyperlink>
      <w:r>
        <w:rPr>
          <w:szCs w:val="28"/>
        </w:rPr>
        <w:t>.</w:t>
      </w:r>
      <w:proofErr w:type="gramEnd"/>
    </w:p>
    <w:p w:rsidR="00257F23" w:rsidRDefault="00257F23" w:rsidP="000E68D9">
      <w:pPr>
        <w:ind w:firstLine="709"/>
        <w:rPr>
          <w:szCs w:val="28"/>
        </w:rPr>
      </w:pPr>
      <w:r>
        <w:rPr>
          <w:szCs w:val="28"/>
        </w:rPr>
        <w:t xml:space="preserve">Функционирование антимонопольного комплаенса в </w:t>
      </w:r>
      <w:r w:rsidR="00C94B82">
        <w:rPr>
          <w:szCs w:val="28"/>
        </w:rPr>
        <w:t>к</w:t>
      </w:r>
      <w:r>
        <w:rPr>
          <w:szCs w:val="28"/>
        </w:rPr>
        <w:t xml:space="preserve">омитете </w:t>
      </w:r>
      <w:r w:rsidR="000F02BF">
        <w:rPr>
          <w:szCs w:val="28"/>
        </w:rPr>
        <w:t>по молодежной политике</w:t>
      </w:r>
      <w:r>
        <w:rPr>
          <w:szCs w:val="28"/>
        </w:rPr>
        <w:t xml:space="preserve"> Ленинградской области (</w:t>
      </w:r>
      <w:r w:rsidR="000E68D9">
        <w:rPr>
          <w:szCs w:val="28"/>
        </w:rPr>
        <w:t>далее – Комитет) осуществляется</w:t>
      </w:r>
      <w:r w:rsidR="005E23F2">
        <w:rPr>
          <w:szCs w:val="28"/>
        </w:rPr>
        <w:t xml:space="preserve"> </w:t>
      </w:r>
      <w:r w:rsidR="000E68D9">
        <w:rPr>
          <w:szCs w:val="28"/>
        </w:rPr>
        <w:t>в</w:t>
      </w:r>
      <w:r w:rsidR="005E23F2">
        <w:rPr>
          <w:szCs w:val="28"/>
        </w:rPr>
        <w:t xml:space="preserve"> </w:t>
      </w:r>
      <w:r w:rsidR="000E68D9">
        <w:rPr>
          <w:szCs w:val="28"/>
        </w:rPr>
        <w:t>соответствии</w:t>
      </w:r>
      <w:r w:rsidR="005E23F2">
        <w:rPr>
          <w:szCs w:val="28"/>
        </w:rPr>
        <w:t xml:space="preserve"> </w:t>
      </w:r>
      <w:r>
        <w:rPr>
          <w:szCs w:val="28"/>
        </w:rPr>
        <w:t>с распоряжением</w:t>
      </w:r>
      <w:r w:rsidR="005E23F2">
        <w:rPr>
          <w:szCs w:val="28"/>
        </w:rPr>
        <w:t xml:space="preserve"> </w:t>
      </w:r>
      <w:r>
        <w:rPr>
          <w:szCs w:val="28"/>
        </w:rPr>
        <w:t>Комитета</w:t>
      </w:r>
      <w:r w:rsidR="005E23F2">
        <w:rPr>
          <w:szCs w:val="28"/>
        </w:rPr>
        <w:t xml:space="preserve"> </w:t>
      </w:r>
      <w:r>
        <w:rPr>
          <w:szCs w:val="28"/>
        </w:rPr>
        <w:t>от 2</w:t>
      </w:r>
      <w:r w:rsidR="008F3192">
        <w:rPr>
          <w:szCs w:val="28"/>
        </w:rPr>
        <w:t>2</w:t>
      </w:r>
      <w:r>
        <w:rPr>
          <w:szCs w:val="28"/>
        </w:rPr>
        <w:t>.03.2019</w:t>
      </w:r>
      <w:r w:rsidR="005E23F2">
        <w:rPr>
          <w:szCs w:val="28"/>
        </w:rPr>
        <w:t xml:space="preserve"> </w:t>
      </w:r>
      <w:r>
        <w:rPr>
          <w:szCs w:val="28"/>
        </w:rPr>
        <w:t xml:space="preserve">№ </w:t>
      </w:r>
      <w:r w:rsidR="008F3192">
        <w:rPr>
          <w:szCs w:val="28"/>
        </w:rPr>
        <w:t>Р-35/2019</w:t>
      </w:r>
      <w:r w:rsidR="00385141">
        <w:rPr>
          <w:szCs w:val="28"/>
        </w:rPr>
        <w:t>.</w:t>
      </w:r>
    </w:p>
    <w:p w:rsidR="00257F23" w:rsidRDefault="00416E55" w:rsidP="000E68D9">
      <w:pPr>
        <w:ind w:firstLine="709"/>
        <w:rPr>
          <w:szCs w:val="28"/>
        </w:rPr>
      </w:pPr>
      <w:r>
        <w:rPr>
          <w:szCs w:val="28"/>
        </w:rPr>
        <w:t>Указанным</w:t>
      </w:r>
      <w:r w:rsidR="00257F23">
        <w:rPr>
          <w:szCs w:val="28"/>
        </w:rPr>
        <w:t xml:space="preserve"> распоряжением утвержден</w:t>
      </w:r>
      <w:r w:rsidR="00783296">
        <w:rPr>
          <w:szCs w:val="28"/>
        </w:rPr>
        <w:t>ы</w:t>
      </w:r>
      <w:r w:rsidR="00257F23">
        <w:rPr>
          <w:szCs w:val="28"/>
        </w:rPr>
        <w:t xml:space="preserve"> порядок выявления и оценки рисков нарушения антимонопольного законодательства при осуществлении Комитетом своей деятельности, перечень мер, направленных на осуществление Комитетом </w:t>
      </w:r>
      <w:proofErr w:type="gramStart"/>
      <w:r w:rsidR="00257F23">
        <w:rPr>
          <w:szCs w:val="28"/>
        </w:rPr>
        <w:t>контроля за</w:t>
      </w:r>
      <w:proofErr w:type="gramEnd"/>
      <w:r w:rsidR="00257F23">
        <w:rPr>
          <w:szCs w:val="28"/>
        </w:rPr>
        <w:t xml:space="preserve"> функционированием антимонопольного комплаенса, а также показатели и порядок оценки эффективности функционирования антимонопольного комплаенса в Комитете</w:t>
      </w:r>
      <w:r w:rsidR="00783296">
        <w:rPr>
          <w:szCs w:val="28"/>
        </w:rPr>
        <w:t>.</w:t>
      </w:r>
    </w:p>
    <w:p w:rsidR="00B7353E" w:rsidRPr="006D6F16" w:rsidRDefault="00B7353E" w:rsidP="000E68D9">
      <w:pPr>
        <w:ind w:firstLine="709"/>
        <w:rPr>
          <w:szCs w:val="28"/>
        </w:rPr>
      </w:pPr>
      <w:r w:rsidRPr="006D6F16">
        <w:rPr>
          <w:szCs w:val="28"/>
        </w:rPr>
        <w:t xml:space="preserve">В целях выявления и оценки рисков нарушения антимонопольного законодательства при осуществлении Комитетом своей деятельности </w:t>
      </w:r>
      <w:r>
        <w:rPr>
          <w:szCs w:val="28"/>
        </w:rPr>
        <w:t>был</w:t>
      </w:r>
      <w:r w:rsidR="00D83713">
        <w:rPr>
          <w:szCs w:val="28"/>
        </w:rPr>
        <w:t>и</w:t>
      </w:r>
      <w:r>
        <w:rPr>
          <w:szCs w:val="28"/>
        </w:rPr>
        <w:t xml:space="preserve"> </w:t>
      </w:r>
      <w:r w:rsidRPr="006D6F16">
        <w:rPr>
          <w:szCs w:val="28"/>
        </w:rPr>
        <w:t>осуществл</w:t>
      </w:r>
      <w:r>
        <w:rPr>
          <w:szCs w:val="28"/>
        </w:rPr>
        <w:t>ен</w:t>
      </w:r>
      <w:r w:rsidR="00D83713">
        <w:rPr>
          <w:szCs w:val="28"/>
        </w:rPr>
        <w:t>ы</w:t>
      </w:r>
      <w:r w:rsidRPr="006D6F16">
        <w:rPr>
          <w:szCs w:val="28"/>
        </w:rPr>
        <w:t>:</w:t>
      </w:r>
    </w:p>
    <w:p w:rsidR="00B7353E" w:rsidRPr="006D6F16" w:rsidRDefault="00B7353E" w:rsidP="000E68D9">
      <w:pPr>
        <w:ind w:firstLine="709"/>
        <w:rPr>
          <w:szCs w:val="28"/>
        </w:rPr>
      </w:pPr>
      <w:r w:rsidRPr="006D6F16">
        <w:rPr>
          <w:szCs w:val="28"/>
        </w:rPr>
        <w:t>- анализ выявленных нарушений антимонопольного законодательства</w:t>
      </w:r>
      <w:r w:rsidR="003123FC">
        <w:rPr>
          <w:szCs w:val="28"/>
        </w:rPr>
        <w:t xml:space="preserve"> </w:t>
      </w:r>
      <w:r w:rsidRPr="006D6F16">
        <w:rPr>
          <w:szCs w:val="28"/>
        </w:rPr>
        <w:t>в деятельности</w:t>
      </w:r>
      <w:r w:rsidR="00DD6EF9">
        <w:rPr>
          <w:szCs w:val="28"/>
        </w:rPr>
        <w:t xml:space="preserve"> Комитета</w:t>
      </w:r>
      <w:r w:rsidRPr="006D6F16">
        <w:rPr>
          <w:szCs w:val="28"/>
        </w:rPr>
        <w:t>;</w:t>
      </w:r>
    </w:p>
    <w:p w:rsidR="00B7353E" w:rsidRPr="006D6F16" w:rsidRDefault="00B7353E" w:rsidP="000E68D9">
      <w:pPr>
        <w:autoSpaceDE w:val="0"/>
        <w:autoSpaceDN w:val="0"/>
        <w:adjustRightInd w:val="0"/>
        <w:ind w:firstLine="709"/>
        <w:rPr>
          <w:szCs w:val="28"/>
        </w:rPr>
      </w:pPr>
      <w:r w:rsidRPr="006D6F16">
        <w:rPr>
          <w:szCs w:val="28"/>
        </w:rPr>
        <w:t xml:space="preserve">- анализ </w:t>
      </w:r>
      <w:r>
        <w:rPr>
          <w:szCs w:val="28"/>
        </w:rPr>
        <w:t xml:space="preserve">нормативных правовых актов </w:t>
      </w:r>
      <w:r w:rsidRPr="006D6F16">
        <w:rPr>
          <w:szCs w:val="28"/>
        </w:rPr>
        <w:t>Комитета;</w:t>
      </w:r>
    </w:p>
    <w:p w:rsidR="00B7353E" w:rsidRPr="006D6F16" w:rsidRDefault="008F3192" w:rsidP="000E68D9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- </w:t>
      </w:r>
      <w:r w:rsidR="00B7353E" w:rsidRPr="006D6F16">
        <w:rPr>
          <w:szCs w:val="28"/>
        </w:rPr>
        <w:t>анализ проектов нормативных правовых актов, разрабатываемых Комитетом;</w:t>
      </w:r>
    </w:p>
    <w:p w:rsidR="00B7353E" w:rsidRDefault="00DD6EF9" w:rsidP="000E68D9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- </w:t>
      </w:r>
      <w:r w:rsidR="00B7353E" w:rsidRPr="006D6F16">
        <w:rPr>
          <w:szCs w:val="28"/>
        </w:rPr>
        <w:t>мониторинг и анализ практики применения Комитетом антимонопольного законодательства.</w:t>
      </w:r>
    </w:p>
    <w:p w:rsidR="00FF7CDE" w:rsidRDefault="00FF7CDE" w:rsidP="000E68D9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В результате проведенног</w:t>
      </w:r>
      <w:r w:rsidR="00932B32">
        <w:rPr>
          <w:szCs w:val="28"/>
        </w:rPr>
        <w:t>о анализа за отчетный период</w:t>
      </w:r>
      <w:r>
        <w:rPr>
          <w:szCs w:val="28"/>
        </w:rPr>
        <w:t xml:space="preserve"> </w:t>
      </w:r>
      <w:r w:rsidRPr="006D6F16">
        <w:rPr>
          <w:szCs w:val="28"/>
        </w:rPr>
        <w:t>нарушени</w:t>
      </w:r>
      <w:r w:rsidR="00783296">
        <w:rPr>
          <w:szCs w:val="28"/>
        </w:rPr>
        <w:t>я</w:t>
      </w:r>
      <w:r w:rsidRPr="006D6F16">
        <w:rPr>
          <w:szCs w:val="28"/>
        </w:rPr>
        <w:t xml:space="preserve"> антимонопольного законодательства в деятельности Комитета</w:t>
      </w:r>
      <w:r>
        <w:rPr>
          <w:szCs w:val="28"/>
        </w:rPr>
        <w:t xml:space="preserve"> не установлен</w:t>
      </w:r>
      <w:r w:rsidR="00783296">
        <w:rPr>
          <w:szCs w:val="28"/>
        </w:rPr>
        <w:t>ы</w:t>
      </w:r>
      <w:r>
        <w:rPr>
          <w:szCs w:val="28"/>
        </w:rPr>
        <w:t>.</w:t>
      </w:r>
    </w:p>
    <w:p w:rsidR="00745988" w:rsidRPr="00C31F3A" w:rsidRDefault="00416E55" w:rsidP="000E68D9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szCs w:val="28"/>
        </w:rPr>
        <w:t>Н</w:t>
      </w:r>
      <w:r w:rsidR="00745988">
        <w:rPr>
          <w:szCs w:val="28"/>
        </w:rPr>
        <w:t xml:space="preserve">арушения в нормативных правовых актах Комитета, проектах нормативных правовых актов, разрабатываемых </w:t>
      </w:r>
      <w:r w:rsidR="00745988" w:rsidRPr="00C31F3A">
        <w:rPr>
          <w:rFonts w:cs="Times New Roman"/>
          <w:szCs w:val="28"/>
        </w:rPr>
        <w:t>Комитетом, в ходе практики применения Комитетом антимонопольного законодательства</w:t>
      </w:r>
      <w:r>
        <w:rPr>
          <w:rFonts w:cs="Times New Roman"/>
          <w:szCs w:val="28"/>
        </w:rPr>
        <w:t xml:space="preserve"> отсутствуют</w:t>
      </w:r>
      <w:r w:rsidR="00745988" w:rsidRPr="00C31F3A">
        <w:rPr>
          <w:rFonts w:cs="Times New Roman"/>
          <w:szCs w:val="28"/>
        </w:rPr>
        <w:t>.</w:t>
      </w:r>
    </w:p>
    <w:p w:rsidR="00C31F3A" w:rsidRPr="004D3B38" w:rsidRDefault="004D3B38" w:rsidP="000E68D9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C31F3A" w:rsidRPr="004D3B38">
        <w:rPr>
          <w:rFonts w:cs="Times New Roman"/>
          <w:szCs w:val="28"/>
        </w:rPr>
        <w:t>редупреждения о прекращении действий (бездействия), которые содержат признаки нарушения антимонопольного законодательства</w:t>
      </w:r>
      <w:r>
        <w:rPr>
          <w:rFonts w:cs="Times New Roman"/>
          <w:szCs w:val="28"/>
        </w:rPr>
        <w:t xml:space="preserve"> Комитету не выдавались</w:t>
      </w:r>
      <w:r w:rsidR="00DD6EF9">
        <w:rPr>
          <w:rFonts w:cs="Times New Roman"/>
          <w:szCs w:val="28"/>
        </w:rPr>
        <w:t>.</w:t>
      </w:r>
    </w:p>
    <w:p w:rsidR="00C31F3A" w:rsidRDefault="00416E55" w:rsidP="000E68D9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Должностные</w:t>
      </w:r>
      <w:r w:rsidR="004D3B38">
        <w:rPr>
          <w:rFonts w:cs="Times New Roman"/>
          <w:szCs w:val="28"/>
        </w:rPr>
        <w:t xml:space="preserve"> лиц</w:t>
      </w:r>
      <w:r>
        <w:rPr>
          <w:rFonts w:cs="Times New Roman"/>
          <w:szCs w:val="28"/>
        </w:rPr>
        <w:t>а</w:t>
      </w:r>
      <w:r w:rsidR="004D3B38">
        <w:rPr>
          <w:rFonts w:cs="Times New Roman"/>
          <w:szCs w:val="28"/>
        </w:rPr>
        <w:t xml:space="preserve"> Комитета </w:t>
      </w:r>
      <w:r w:rsidR="00C31F3A" w:rsidRPr="004D3B38">
        <w:rPr>
          <w:rFonts w:cs="Times New Roman"/>
          <w:szCs w:val="28"/>
        </w:rPr>
        <w:t>к административной ответственности в виде наложения административных штрафов или в виде их дисквалификации</w:t>
      </w:r>
      <w:r>
        <w:rPr>
          <w:rFonts w:cs="Times New Roman"/>
          <w:szCs w:val="28"/>
        </w:rPr>
        <w:t xml:space="preserve"> не привлекались</w:t>
      </w:r>
      <w:r w:rsidR="00C31F3A" w:rsidRPr="004D3B38">
        <w:rPr>
          <w:rFonts w:cs="Times New Roman"/>
          <w:szCs w:val="28"/>
        </w:rPr>
        <w:t>.</w:t>
      </w:r>
    </w:p>
    <w:p w:rsidR="000A768F" w:rsidRDefault="000A768F" w:rsidP="000E68D9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A768F">
        <w:rPr>
          <w:rFonts w:cs="Times New Roman"/>
          <w:szCs w:val="28"/>
        </w:rPr>
        <w:t xml:space="preserve">2. Информация о результатах исполнения мероприятий («дорожной карты») по снижению </w:t>
      </w:r>
      <w:proofErr w:type="spellStart"/>
      <w:r w:rsidRPr="000A768F">
        <w:rPr>
          <w:rFonts w:cs="Times New Roman"/>
          <w:szCs w:val="28"/>
        </w:rPr>
        <w:t>комплаенс</w:t>
      </w:r>
      <w:proofErr w:type="spellEnd"/>
      <w:r w:rsidRPr="000A768F">
        <w:rPr>
          <w:rFonts w:cs="Times New Roman"/>
          <w:szCs w:val="28"/>
        </w:rPr>
        <w:t xml:space="preserve">-рисков органов исполнительной власти Ленинградской области, утвержденных распоряжением Губернатора Ленинградской области от 21.01.2025 № 28 </w:t>
      </w:r>
      <w:proofErr w:type="spellStart"/>
      <w:r w:rsidRPr="000A768F">
        <w:rPr>
          <w:rFonts w:cs="Times New Roman"/>
          <w:szCs w:val="28"/>
        </w:rPr>
        <w:t>рг</w:t>
      </w:r>
      <w:proofErr w:type="spellEnd"/>
      <w:r w:rsidRPr="000A768F">
        <w:rPr>
          <w:rFonts w:cs="Times New Roman"/>
          <w:szCs w:val="28"/>
        </w:rPr>
        <w:t>.</w:t>
      </w:r>
    </w:p>
    <w:p w:rsidR="00DD6EF9" w:rsidRDefault="00DD6EF9" w:rsidP="000E68D9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</w:t>
      </w:r>
      <w:r w:rsidR="00416E55">
        <w:rPr>
          <w:rFonts w:cs="Times New Roman"/>
          <w:szCs w:val="28"/>
        </w:rPr>
        <w:t>Комитете за отчетный период</w:t>
      </w:r>
      <w:r>
        <w:rPr>
          <w:rFonts w:cs="Times New Roman"/>
          <w:szCs w:val="28"/>
        </w:rPr>
        <w:t xml:space="preserve"> проведены следующие мероприятия по реализации дорожной карты по снижению комплаенс-рисков:</w:t>
      </w:r>
    </w:p>
    <w:p w:rsidR="00DD6EF9" w:rsidRDefault="00EA16E0" w:rsidP="000E68D9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усиление внутреннего </w:t>
      </w:r>
      <w:proofErr w:type="gramStart"/>
      <w:r>
        <w:rPr>
          <w:rFonts w:cs="Times New Roman"/>
          <w:szCs w:val="28"/>
        </w:rPr>
        <w:t>контроля за</w:t>
      </w:r>
      <w:proofErr w:type="gramEnd"/>
      <w:r>
        <w:rPr>
          <w:rFonts w:cs="Times New Roman"/>
          <w:szCs w:val="28"/>
        </w:rPr>
        <w:t xml:space="preserve"> подготовкой документации о закупках на стадии согласования;</w:t>
      </w:r>
    </w:p>
    <w:p w:rsidR="00EA16E0" w:rsidRDefault="00EA16E0" w:rsidP="000E68D9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осуществление ведомственного контроля в сфере закупок товаров, работ, услуг для обеспечения государственных нужд в отношении подведомственных учреждений Комитета;</w:t>
      </w:r>
    </w:p>
    <w:p w:rsidR="00EA16E0" w:rsidRDefault="00F4402E" w:rsidP="000E68D9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EA16E0">
        <w:rPr>
          <w:rFonts w:cs="Times New Roman"/>
          <w:szCs w:val="28"/>
        </w:rPr>
        <w:t>участие сотрудников Комитета в семинарах, организованных Комитетом государственного заказа Ленинградской области;</w:t>
      </w:r>
    </w:p>
    <w:p w:rsidR="00EA16E0" w:rsidRDefault="00EA16E0" w:rsidP="000E68D9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 информирование руководства о документах и действиях, которые могли повлечь за собой нарушение антимонопольного законодательства;</w:t>
      </w:r>
    </w:p>
    <w:p w:rsidR="00EA16E0" w:rsidRDefault="00EA16E0" w:rsidP="000E68D9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регулярный мониторинг поданных жалоб в отношении Комитета и подведомственных ему учреждений в </w:t>
      </w:r>
      <w:proofErr w:type="gramStart"/>
      <w:r>
        <w:rPr>
          <w:rFonts w:cs="Times New Roman"/>
          <w:szCs w:val="28"/>
        </w:rPr>
        <w:t>Ленинградское</w:t>
      </w:r>
      <w:proofErr w:type="gramEnd"/>
      <w:r>
        <w:rPr>
          <w:rFonts w:cs="Times New Roman"/>
          <w:szCs w:val="28"/>
        </w:rPr>
        <w:t xml:space="preserve"> УФАС России;</w:t>
      </w:r>
    </w:p>
    <w:p w:rsidR="00EA16E0" w:rsidRDefault="00EA16E0" w:rsidP="000E68D9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 мониторинг практики применения правовых актов в сфере антимонопольного законодательства;</w:t>
      </w:r>
    </w:p>
    <w:p w:rsidR="00EA16E0" w:rsidRDefault="00EA16E0" w:rsidP="000E68D9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 своевременное размещение в ЕИС информации, подлежащей опубликованию</w:t>
      </w:r>
      <w:r w:rsidR="00A30DB8">
        <w:rPr>
          <w:rFonts w:cs="Times New Roman"/>
          <w:szCs w:val="28"/>
        </w:rPr>
        <w:t>;</w:t>
      </w:r>
    </w:p>
    <w:p w:rsidR="00A30DB8" w:rsidRDefault="00A30DB8" w:rsidP="000E68D9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 недопущение завышения или занижения НМЦК, случаев использования в контрактах завышенных требований к участникам закупки, не предусмотренных действующим законодательством;</w:t>
      </w:r>
    </w:p>
    <w:p w:rsidR="00932B32" w:rsidRDefault="00A30DB8" w:rsidP="000E68D9">
      <w:pPr>
        <w:tabs>
          <w:tab w:val="left" w:pos="993"/>
        </w:tabs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932B32">
        <w:rPr>
          <w:rFonts w:cs="Times New Roman"/>
          <w:szCs w:val="28"/>
        </w:rPr>
        <w:t>правовая, антикоррупционная экспертиза в отношении проектов нормативных правовых актов;</w:t>
      </w:r>
    </w:p>
    <w:p w:rsidR="00A30DB8" w:rsidRDefault="00932B32" w:rsidP="000E68D9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 внутренняя разъяснительная работа по подготовке ответов на обра</w:t>
      </w:r>
      <w:r w:rsidR="00E9079D">
        <w:rPr>
          <w:rFonts w:cs="Times New Roman"/>
          <w:szCs w:val="28"/>
        </w:rPr>
        <w:t>щение граждан и юридических лиц;</w:t>
      </w:r>
    </w:p>
    <w:p w:rsidR="00CC18C9" w:rsidRPr="008C76B8" w:rsidRDefault="00CC18C9" w:rsidP="000E68D9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 мониторинг за соблюдением порядка подготовки ответов на обращения граждан и юридических лиц</w:t>
      </w:r>
      <w:r w:rsidR="00883079">
        <w:rPr>
          <w:rFonts w:cs="Times New Roman"/>
          <w:szCs w:val="28"/>
        </w:rPr>
        <w:t>.</w:t>
      </w:r>
    </w:p>
    <w:p w:rsidR="008C76B8" w:rsidRPr="008C76B8" w:rsidRDefault="00CC18C9" w:rsidP="008C76B8">
      <w:pPr>
        <w:ind w:firstLine="708"/>
        <w:rPr>
          <w:szCs w:val="28"/>
        </w:rPr>
      </w:pPr>
      <w:r>
        <w:rPr>
          <w:szCs w:val="28"/>
        </w:rPr>
        <w:t xml:space="preserve">Все сотрудники Комитета владеют знаниями норм Федерального закона от 02.05.2006 года № 59-ФЗ «О порядке рассмотрения обращений граждан Российской Федерации». </w:t>
      </w:r>
      <w:r w:rsidR="008C76B8" w:rsidRPr="008C76B8">
        <w:rPr>
          <w:szCs w:val="28"/>
        </w:rPr>
        <w:t xml:space="preserve">При подготовке ответов на обращения граждан и юридических лиц соблюдались требования Инструкции по делопроизводству в органах исполнительной власти Ленинградской области, утвержденной постановлением Губернатора Ленинградской области от 13.02.2018 № 4-пг. </w:t>
      </w:r>
    </w:p>
    <w:p w:rsidR="00CC18C9" w:rsidRDefault="008C76B8" w:rsidP="008C76B8">
      <w:pPr>
        <w:ind w:firstLine="708"/>
        <w:rPr>
          <w:szCs w:val="28"/>
        </w:rPr>
      </w:pPr>
      <w:r w:rsidRPr="008C76B8">
        <w:rPr>
          <w:szCs w:val="28"/>
        </w:rPr>
        <w:t>Сроки ответа на обращения ставятся на контроль посредством использования системы электронного документооборота. Нарушений норм антимонопольного законодательства при подготовке ответов на обращения не установлено.</w:t>
      </w:r>
    </w:p>
    <w:p w:rsidR="00883079" w:rsidRDefault="00883079" w:rsidP="00E245E2">
      <w:pPr>
        <w:ind w:firstLine="709"/>
        <w:rPr>
          <w:szCs w:val="28"/>
        </w:rPr>
      </w:pPr>
    </w:p>
    <w:p w:rsidR="00883079" w:rsidRDefault="00883079" w:rsidP="00E245E2">
      <w:pPr>
        <w:ind w:firstLine="709"/>
        <w:rPr>
          <w:szCs w:val="28"/>
        </w:rPr>
      </w:pPr>
    </w:p>
    <w:p w:rsidR="00E245E2" w:rsidRPr="00E245E2" w:rsidRDefault="00E245E2" w:rsidP="00E245E2">
      <w:pPr>
        <w:ind w:firstLine="709"/>
        <w:rPr>
          <w:szCs w:val="28"/>
        </w:rPr>
      </w:pPr>
      <w:r w:rsidRPr="00E245E2">
        <w:rPr>
          <w:szCs w:val="28"/>
        </w:rPr>
        <w:lastRenderedPageBreak/>
        <w:t xml:space="preserve">К числу </w:t>
      </w:r>
      <w:proofErr w:type="spellStart"/>
      <w:r w:rsidRPr="00E245E2">
        <w:rPr>
          <w:szCs w:val="28"/>
        </w:rPr>
        <w:t>комплаенс</w:t>
      </w:r>
      <w:proofErr w:type="spellEnd"/>
      <w:r w:rsidRPr="00E245E2">
        <w:rPr>
          <w:szCs w:val="28"/>
        </w:rPr>
        <w:t xml:space="preserve">-рисков в </w:t>
      </w:r>
      <w:r w:rsidR="00883079">
        <w:rPr>
          <w:szCs w:val="28"/>
        </w:rPr>
        <w:t>К</w:t>
      </w:r>
      <w:r w:rsidRPr="00E245E2">
        <w:rPr>
          <w:szCs w:val="28"/>
        </w:rPr>
        <w:t>омитете (подведомственных учреждениях) относятся:</w:t>
      </w:r>
    </w:p>
    <w:p w:rsidR="00E245E2" w:rsidRPr="00E245E2" w:rsidRDefault="00E245E2" w:rsidP="00E245E2">
      <w:pPr>
        <w:ind w:firstLine="709"/>
        <w:rPr>
          <w:szCs w:val="28"/>
        </w:rPr>
      </w:pPr>
      <w:r w:rsidRPr="00E245E2">
        <w:rPr>
          <w:szCs w:val="28"/>
        </w:rPr>
        <w:t>1) нарушения при осуществлении закупок товаров, работ, услуг</w:t>
      </w:r>
      <w:r w:rsidR="000A768F">
        <w:rPr>
          <w:szCs w:val="28"/>
        </w:rPr>
        <w:t xml:space="preserve"> </w:t>
      </w:r>
      <w:r w:rsidRPr="00E245E2">
        <w:rPr>
          <w:szCs w:val="28"/>
        </w:rPr>
        <w:t>для обеспечения государственных нужд и нужд подведомственных учреждений, повлекшие нарушение антимонопольного законодательства (низкий уровень риска</w:t>
      </w:r>
      <w:r w:rsidR="000A768F">
        <w:rPr>
          <w:szCs w:val="28"/>
        </w:rPr>
        <w:t xml:space="preserve"> </w:t>
      </w:r>
      <w:r w:rsidRPr="00E245E2">
        <w:rPr>
          <w:szCs w:val="28"/>
        </w:rPr>
        <w:t xml:space="preserve">в части </w:t>
      </w:r>
      <w:r w:rsidR="000A768F">
        <w:rPr>
          <w:szCs w:val="28"/>
        </w:rPr>
        <w:t>к</w:t>
      </w:r>
      <w:r w:rsidRPr="00E245E2">
        <w:rPr>
          <w:szCs w:val="28"/>
        </w:rPr>
        <w:t>омитета и существенный уровень риска в части подведомственных учреждений);</w:t>
      </w:r>
    </w:p>
    <w:p w:rsidR="00E245E2" w:rsidRPr="00E245E2" w:rsidRDefault="00E245E2" w:rsidP="00E245E2">
      <w:pPr>
        <w:ind w:firstLine="709"/>
        <w:rPr>
          <w:szCs w:val="28"/>
        </w:rPr>
      </w:pPr>
      <w:r w:rsidRPr="00E245E2">
        <w:rPr>
          <w:szCs w:val="28"/>
        </w:rPr>
        <w:t>2) принятие правовых актов и осуществление действий (бездействия) комитетом, которые приводят или могут привести к недопущению, ограничению, устранению конкуренции (низкий уровень риска);</w:t>
      </w:r>
    </w:p>
    <w:p w:rsidR="00E245E2" w:rsidRPr="00E245E2" w:rsidRDefault="00E245E2" w:rsidP="00E245E2">
      <w:pPr>
        <w:ind w:firstLine="709"/>
        <w:rPr>
          <w:szCs w:val="28"/>
        </w:rPr>
      </w:pPr>
      <w:r w:rsidRPr="00E245E2">
        <w:rPr>
          <w:szCs w:val="28"/>
        </w:rPr>
        <w:t>3) нарушение антимонопольного законодательства комитетом</w:t>
      </w:r>
      <w:r w:rsidR="000A768F">
        <w:rPr>
          <w:szCs w:val="28"/>
        </w:rPr>
        <w:t xml:space="preserve"> </w:t>
      </w:r>
      <w:r w:rsidRPr="00E245E2">
        <w:rPr>
          <w:szCs w:val="28"/>
        </w:rPr>
        <w:t>при предоставлении субсидий (низкий уровень риска);</w:t>
      </w:r>
    </w:p>
    <w:p w:rsidR="00E245E2" w:rsidRPr="00E245E2" w:rsidRDefault="00E245E2" w:rsidP="00E245E2">
      <w:pPr>
        <w:ind w:firstLine="709"/>
        <w:rPr>
          <w:szCs w:val="28"/>
        </w:rPr>
      </w:pPr>
      <w:r w:rsidRPr="00E245E2">
        <w:rPr>
          <w:szCs w:val="28"/>
        </w:rPr>
        <w:t>4) принятие решений, влекущих нарушение норм антимонопольного законодательства комитетом и подведомственными учреждениями при подготовке ответов на обращения граждан (низкий уровень риска);</w:t>
      </w:r>
    </w:p>
    <w:p w:rsidR="00E245E2" w:rsidRPr="00E245E2" w:rsidRDefault="00E245E2" w:rsidP="00E245E2">
      <w:pPr>
        <w:ind w:firstLine="709"/>
        <w:rPr>
          <w:szCs w:val="28"/>
        </w:rPr>
      </w:pPr>
      <w:r w:rsidRPr="00E245E2">
        <w:rPr>
          <w:szCs w:val="28"/>
        </w:rPr>
        <w:t>5) нарушение антимонопольного законодательства при заключении соглашений комитетом и подведомственными учреждениями в различных сферах деятельности (низкий уровень риска).</w:t>
      </w:r>
    </w:p>
    <w:p w:rsidR="00E245E2" w:rsidRPr="00E245E2" w:rsidRDefault="00E245E2" w:rsidP="00E245E2">
      <w:pPr>
        <w:ind w:firstLine="709"/>
        <w:rPr>
          <w:szCs w:val="28"/>
        </w:rPr>
      </w:pPr>
      <w:proofErr w:type="spellStart"/>
      <w:r w:rsidRPr="00E245E2">
        <w:rPr>
          <w:szCs w:val="28"/>
        </w:rPr>
        <w:t>Комплаенс</w:t>
      </w:r>
      <w:proofErr w:type="spellEnd"/>
      <w:r w:rsidRPr="00E245E2">
        <w:rPr>
          <w:szCs w:val="28"/>
        </w:rPr>
        <w:t xml:space="preserve">-риски, указанные в п. 2-5 являются потенциальными, т.е. информация о нарушении данных пунктов </w:t>
      </w:r>
      <w:r w:rsidR="00883079">
        <w:rPr>
          <w:szCs w:val="28"/>
        </w:rPr>
        <w:t>К</w:t>
      </w:r>
      <w:r w:rsidRPr="00E245E2">
        <w:rPr>
          <w:szCs w:val="28"/>
        </w:rPr>
        <w:t>омитетом</w:t>
      </w:r>
      <w:r w:rsidR="009A4FF9">
        <w:rPr>
          <w:szCs w:val="28"/>
        </w:rPr>
        <w:t xml:space="preserve"> </w:t>
      </w:r>
      <w:r w:rsidRPr="00E245E2">
        <w:rPr>
          <w:szCs w:val="28"/>
        </w:rPr>
        <w:t xml:space="preserve">или подведомственными учреждениями за 2025 годы, отсутствует. </w:t>
      </w:r>
    </w:p>
    <w:p w:rsidR="00E245E2" w:rsidRPr="00E245E2" w:rsidRDefault="00E245E2" w:rsidP="00E245E2">
      <w:pPr>
        <w:ind w:firstLine="709"/>
        <w:rPr>
          <w:szCs w:val="28"/>
        </w:rPr>
      </w:pPr>
      <w:r w:rsidRPr="00E245E2">
        <w:rPr>
          <w:szCs w:val="28"/>
        </w:rPr>
        <w:t xml:space="preserve">С целью исключения </w:t>
      </w:r>
      <w:proofErr w:type="spellStart"/>
      <w:r w:rsidRPr="00E245E2">
        <w:rPr>
          <w:szCs w:val="28"/>
        </w:rPr>
        <w:t>комплаенс</w:t>
      </w:r>
      <w:proofErr w:type="spellEnd"/>
      <w:r w:rsidRPr="00E245E2">
        <w:rPr>
          <w:szCs w:val="28"/>
        </w:rPr>
        <w:t>-рисков при осуществлении закупок товаров, работ, услуг для обеспечения государственных нужд и нужд подведомственных учреждений проведены следующие мероприятия:</w:t>
      </w:r>
    </w:p>
    <w:p w:rsidR="00E245E2" w:rsidRPr="00E245E2" w:rsidRDefault="00E245E2" w:rsidP="00E245E2">
      <w:pPr>
        <w:ind w:firstLine="709"/>
        <w:rPr>
          <w:szCs w:val="28"/>
        </w:rPr>
      </w:pPr>
      <w:r w:rsidRPr="00E245E2">
        <w:rPr>
          <w:szCs w:val="28"/>
        </w:rPr>
        <w:t>исключение «дробления» закупок с целью заключения контрактов</w:t>
      </w:r>
      <w:r w:rsidR="000A768F">
        <w:rPr>
          <w:szCs w:val="28"/>
        </w:rPr>
        <w:t xml:space="preserve"> </w:t>
      </w:r>
      <w:r w:rsidRPr="00E245E2">
        <w:rPr>
          <w:szCs w:val="28"/>
        </w:rPr>
        <w:t>с единственным поставщиком без проведения конкурентных закупок;</w:t>
      </w:r>
    </w:p>
    <w:p w:rsidR="00E245E2" w:rsidRPr="00E245E2" w:rsidRDefault="00E245E2" w:rsidP="00E245E2">
      <w:pPr>
        <w:ind w:firstLine="709"/>
        <w:rPr>
          <w:szCs w:val="28"/>
        </w:rPr>
      </w:pPr>
      <w:r w:rsidRPr="00E245E2">
        <w:rPr>
          <w:szCs w:val="28"/>
        </w:rPr>
        <w:t>недопущение завышения или занижения начальной (максимальной) цены контракта, нарушения порядка определения и обоснования начальной (максимальной) цены контракта;</w:t>
      </w:r>
    </w:p>
    <w:p w:rsidR="00E245E2" w:rsidRPr="00E245E2" w:rsidRDefault="00E245E2" w:rsidP="00E245E2">
      <w:pPr>
        <w:ind w:firstLine="709"/>
        <w:rPr>
          <w:szCs w:val="28"/>
        </w:rPr>
      </w:pPr>
      <w:r w:rsidRPr="00E245E2">
        <w:rPr>
          <w:szCs w:val="28"/>
        </w:rPr>
        <w:t>использование типовой формы контракта для осуществления закупок;</w:t>
      </w:r>
    </w:p>
    <w:p w:rsidR="00E245E2" w:rsidRPr="00E245E2" w:rsidRDefault="00E245E2" w:rsidP="00E245E2">
      <w:pPr>
        <w:ind w:firstLine="709"/>
        <w:rPr>
          <w:szCs w:val="28"/>
        </w:rPr>
      </w:pPr>
      <w:r w:rsidRPr="00E245E2">
        <w:rPr>
          <w:szCs w:val="28"/>
        </w:rPr>
        <w:t>недопущение нарушения порядка определения победителя в рамках процедуры определения поставщика (подрядчика, исполнителя);</w:t>
      </w:r>
    </w:p>
    <w:p w:rsidR="00E245E2" w:rsidRPr="00E245E2" w:rsidRDefault="00E245E2" w:rsidP="00E245E2">
      <w:pPr>
        <w:ind w:firstLine="709"/>
        <w:rPr>
          <w:szCs w:val="28"/>
        </w:rPr>
      </w:pPr>
      <w:r w:rsidRPr="00E245E2">
        <w:rPr>
          <w:szCs w:val="28"/>
        </w:rPr>
        <w:t>размещение в Единой информационной системе в сфере закупок своевременно информации, подлежащей опубликованию;</w:t>
      </w:r>
    </w:p>
    <w:p w:rsidR="00E245E2" w:rsidRPr="00E245E2" w:rsidRDefault="00E245E2" w:rsidP="00E245E2">
      <w:pPr>
        <w:ind w:firstLine="709"/>
        <w:rPr>
          <w:szCs w:val="28"/>
        </w:rPr>
      </w:pPr>
      <w:proofErr w:type="gramStart"/>
      <w:r w:rsidRPr="00E245E2">
        <w:rPr>
          <w:szCs w:val="28"/>
        </w:rPr>
        <w:t>регулярный мониторинг поданных жалоб в отношении комитета</w:t>
      </w:r>
      <w:r w:rsidR="00F0539E">
        <w:rPr>
          <w:szCs w:val="28"/>
        </w:rPr>
        <w:t xml:space="preserve"> </w:t>
      </w:r>
      <w:r w:rsidRPr="00E245E2">
        <w:rPr>
          <w:szCs w:val="28"/>
        </w:rPr>
        <w:t>и подведомственных учреждений в Ленинградский УФАС России;</w:t>
      </w:r>
      <w:proofErr w:type="gramEnd"/>
    </w:p>
    <w:p w:rsidR="00E245E2" w:rsidRPr="00E245E2" w:rsidRDefault="00E245E2" w:rsidP="00E245E2">
      <w:pPr>
        <w:ind w:firstLine="709"/>
        <w:rPr>
          <w:szCs w:val="28"/>
        </w:rPr>
      </w:pPr>
      <w:r w:rsidRPr="00E245E2">
        <w:rPr>
          <w:szCs w:val="28"/>
        </w:rPr>
        <w:t>регулярное обновление информации о практике применения антимонопольного законодательства;</w:t>
      </w:r>
    </w:p>
    <w:p w:rsidR="00E245E2" w:rsidRPr="00E245E2" w:rsidRDefault="00E245E2" w:rsidP="00E245E2">
      <w:pPr>
        <w:ind w:firstLine="709"/>
        <w:rPr>
          <w:szCs w:val="28"/>
        </w:rPr>
      </w:pPr>
      <w:r w:rsidRPr="00E245E2">
        <w:rPr>
          <w:szCs w:val="28"/>
        </w:rPr>
        <w:t>использование конструктора контрактов, согласно рекомендациям комитета государственного заказа Ленинградской области;</w:t>
      </w:r>
    </w:p>
    <w:p w:rsidR="00E245E2" w:rsidRPr="00E245E2" w:rsidRDefault="00E245E2" w:rsidP="00E245E2">
      <w:pPr>
        <w:ind w:firstLine="709"/>
        <w:rPr>
          <w:szCs w:val="28"/>
        </w:rPr>
      </w:pPr>
      <w:r w:rsidRPr="00E245E2">
        <w:rPr>
          <w:szCs w:val="28"/>
        </w:rPr>
        <w:t xml:space="preserve">соблюдение </w:t>
      </w:r>
      <w:proofErr w:type="gramStart"/>
      <w:r w:rsidRPr="00E245E2">
        <w:rPr>
          <w:szCs w:val="28"/>
        </w:rPr>
        <w:t>порядка согласования проектов государственных контрактов/контрактов подведомственных учреждений</w:t>
      </w:r>
      <w:proofErr w:type="gramEnd"/>
      <w:r w:rsidRPr="00E245E2">
        <w:rPr>
          <w:szCs w:val="28"/>
        </w:rPr>
        <w:t xml:space="preserve"> и комитета;</w:t>
      </w:r>
    </w:p>
    <w:p w:rsidR="00E245E2" w:rsidRPr="00E245E2" w:rsidRDefault="00E245E2" w:rsidP="00E245E2">
      <w:pPr>
        <w:ind w:firstLine="709"/>
        <w:rPr>
          <w:szCs w:val="28"/>
        </w:rPr>
      </w:pPr>
      <w:r w:rsidRPr="00E245E2">
        <w:rPr>
          <w:szCs w:val="28"/>
        </w:rPr>
        <w:t>использование общих подходов при описании объекта закупки;</w:t>
      </w:r>
    </w:p>
    <w:p w:rsidR="008C76B8" w:rsidRDefault="00E245E2" w:rsidP="008C76B8">
      <w:pPr>
        <w:ind w:firstLine="709"/>
        <w:rPr>
          <w:szCs w:val="28"/>
        </w:rPr>
      </w:pPr>
      <w:r w:rsidRPr="00E245E2">
        <w:rPr>
          <w:szCs w:val="28"/>
        </w:rPr>
        <w:t>использование разъяснений ФАС России, Минфина России, позиций Верховного суда Российской Федераци</w:t>
      </w:r>
      <w:r w:rsidR="008C76B8">
        <w:rPr>
          <w:szCs w:val="28"/>
        </w:rPr>
        <w:t>и при формировании документации.</w:t>
      </w:r>
    </w:p>
    <w:p w:rsidR="008C76B8" w:rsidRPr="008C76B8" w:rsidRDefault="008C76B8" w:rsidP="008C76B8">
      <w:pPr>
        <w:ind w:firstLine="709"/>
        <w:rPr>
          <w:rFonts w:cs="Times New Roman"/>
          <w:szCs w:val="28"/>
        </w:rPr>
      </w:pPr>
      <w:bookmarkStart w:id="0" w:name="_GoBack"/>
      <w:bookmarkEnd w:id="0"/>
      <w:r w:rsidRPr="008C76B8">
        <w:rPr>
          <w:rFonts w:cs="Times New Roman"/>
          <w:szCs w:val="28"/>
        </w:rPr>
        <w:lastRenderedPageBreak/>
        <w:t>Ключевыми показател</w:t>
      </w:r>
      <w:r>
        <w:rPr>
          <w:rFonts w:cs="Times New Roman"/>
          <w:szCs w:val="28"/>
        </w:rPr>
        <w:t>ями</w:t>
      </w:r>
      <w:r w:rsidRPr="008C76B8">
        <w:rPr>
          <w:rFonts w:cs="Times New Roman"/>
          <w:szCs w:val="28"/>
        </w:rPr>
        <w:t xml:space="preserve"> эффективности антимонопольного комплаенса являются:</w:t>
      </w:r>
    </w:p>
    <w:p w:rsidR="008C76B8" w:rsidRPr="008C76B8" w:rsidRDefault="008C76B8" w:rsidP="008C76B8">
      <w:pPr>
        <w:ind w:firstLine="709"/>
        <w:rPr>
          <w:rFonts w:cs="Times New Roman"/>
          <w:szCs w:val="28"/>
        </w:rPr>
      </w:pPr>
      <w:r w:rsidRPr="008C76B8">
        <w:rPr>
          <w:rFonts w:cs="Times New Roman"/>
          <w:szCs w:val="28"/>
        </w:rPr>
        <w:t>коэффициент снижения количества нарушений антимонопольного законодательства со стороны Комитета за последние три года;</w:t>
      </w:r>
    </w:p>
    <w:p w:rsidR="008C76B8" w:rsidRPr="008C76B8" w:rsidRDefault="008C76B8" w:rsidP="008C76B8">
      <w:pPr>
        <w:ind w:firstLine="709"/>
        <w:rPr>
          <w:rFonts w:cs="Times New Roman"/>
          <w:szCs w:val="28"/>
        </w:rPr>
      </w:pPr>
      <w:r w:rsidRPr="008C76B8">
        <w:rPr>
          <w:rFonts w:cs="Times New Roman"/>
          <w:szCs w:val="28"/>
        </w:rPr>
        <w:t xml:space="preserve">коэффициент </w:t>
      </w:r>
      <w:proofErr w:type="gramStart"/>
      <w:r w:rsidRPr="008C76B8">
        <w:rPr>
          <w:rFonts w:cs="Times New Roman"/>
          <w:szCs w:val="28"/>
        </w:rPr>
        <w:t>эффективности выявления рисков нарушения антимонопольного законодательства</w:t>
      </w:r>
      <w:proofErr w:type="gramEnd"/>
      <w:r w:rsidRPr="008C76B8">
        <w:rPr>
          <w:rFonts w:cs="Times New Roman"/>
          <w:szCs w:val="28"/>
        </w:rPr>
        <w:t xml:space="preserve"> в проектах нормативных правовых актов Комитета;</w:t>
      </w:r>
    </w:p>
    <w:p w:rsidR="008C76B8" w:rsidRPr="008C76B8" w:rsidRDefault="008C76B8" w:rsidP="008C76B8">
      <w:pPr>
        <w:ind w:firstLine="709"/>
        <w:rPr>
          <w:rFonts w:cs="Times New Roman"/>
          <w:szCs w:val="28"/>
        </w:rPr>
      </w:pPr>
      <w:r w:rsidRPr="008C76B8">
        <w:rPr>
          <w:rFonts w:cs="Times New Roman"/>
          <w:szCs w:val="28"/>
        </w:rPr>
        <w:t xml:space="preserve">коэффициент эффективности выявления нарушений антимонопольного законодательства </w:t>
      </w:r>
      <w:proofErr w:type="gramStart"/>
      <w:r w:rsidRPr="008C76B8">
        <w:rPr>
          <w:rFonts w:cs="Times New Roman"/>
          <w:szCs w:val="28"/>
        </w:rPr>
        <w:t>в</w:t>
      </w:r>
      <w:proofErr w:type="gramEnd"/>
      <w:r w:rsidRPr="008C76B8">
        <w:rPr>
          <w:rFonts w:cs="Times New Roman"/>
          <w:szCs w:val="28"/>
        </w:rPr>
        <w:t xml:space="preserve"> нормативных правовых актов Комитета.</w:t>
      </w:r>
    </w:p>
    <w:p w:rsidR="008C76B8" w:rsidRDefault="008C76B8" w:rsidP="008C76B8">
      <w:pPr>
        <w:ind w:firstLine="709"/>
        <w:rPr>
          <w:rFonts w:cs="Times New Roman"/>
          <w:szCs w:val="28"/>
        </w:rPr>
      </w:pPr>
      <w:r w:rsidRPr="008C76B8">
        <w:rPr>
          <w:rFonts w:cs="Times New Roman"/>
          <w:szCs w:val="28"/>
        </w:rPr>
        <w:t>В 2025 году нарушения в области антимонопольного законодательства, а также случаи привлечения работников Комитета к ответственности за нарушение антимонопольного законодательства, нормативные правовые акты, а также проекты нормативных правовых актов Комитета, в которых выявлены риски нарушения антимонопольного законодательства, отсутствуют.</w:t>
      </w:r>
    </w:p>
    <w:p w:rsidR="008C76B8" w:rsidRDefault="008C76B8" w:rsidP="008C76B8">
      <w:pPr>
        <w:ind w:firstLine="709"/>
        <w:rPr>
          <w:szCs w:val="28"/>
        </w:rPr>
      </w:pPr>
      <w:r>
        <w:rPr>
          <w:szCs w:val="28"/>
        </w:rPr>
        <w:t xml:space="preserve">Нулевые значения ключевых показателей стали результатом проведенных Комитетом мероприятий по реализации дорожной карты по снижению </w:t>
      </w:r>
      <w:proofErr w:type="spellStart"/>
      <w:r>
        <w:rPr>
          <w:szCs w:val="28"/>
        </w:rPr>
        <w:t>комплаенс</w:t>
      </w:r>
      <w:proofErr w:type="spellEnd"/>
      <w:r>
        <w:rPr>
          <w:szCs w:val="28"/>
        </w:rPr>
        <w:t>-рисков.</w:t>
      </w:r>
    </w:p>
    <w:p w:rsidR="00E245E2" w:rsidRDefault="00E245E2" w:rsidP="00E245E2">
      <w:pPr>
        <w:ind w:firstLine="709"/>
        <w:rPr>
          <w:szCs w:val="28"/>
        </w:rPr>
      </w:pPr>
    </w:p>
    <w:sectPr w:rsidR="00E245E2" w:rsidSect="00883079">
      <w:pgSz w:w="11906" w:h="16838"/>
      <w:pgMar w:top="1135" w:right="567" w:bottom="993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D12"/>
    <w:rsid w:val="00036449"/>
    <w:rsid w:val="0004634C"/>
    <w:rsid w:val="00062A2C"/>
    <w:rsid w:val="00097D12"/>
    <w:rsid w:val="000A356C"/>
    <w:rsid w:val="000A726E"/>
    <w:rsid w:val="000A768F"/>
    <w:rsid w:val="000B5CBA"/>
    <w:rsid w:val="000E68D9"/>
    <w:rsid w:val="000F02BF"/>
    <w:rsid w:val="0011732F"/>
    <w:rsid w:val="00117F6F"/>
    <w:rsid w:val="0013157C"/>
    <w:rsid w:val="00155C14"/>
    <w:rsid w:val="001944C3"/>
    <w:rsid w:val="001A0F06"/>
    <w:rsid w:val="00211D3F"/>
    <w:rsid w:val="0023265B"/>
    <w:rsid w:val="0024245A"/>
    <w:rsid w:val="00257F23"/>
    <w:rsid w:val="002626E6"/>
    <w:rsid w:val="002A0D1C"/>
    <w:rsid w:val="002F14BD"/>
    <w:rsid w:val="003123FC"/>
    <w:rsid w:val="00385141"/>
    <w:rsid w:val="00387666"/>
    <w:rsid w:val="00387EEB"/>
    <w:rsid w:val="00390D3D"/>
    <w:rsid w:val="003A533C"/>
    <w:rsid w:val="003C4CAA"/>
    <w:rsid w:val="003E0903"/>
    <w:rsid w:val="00416E55"/>
    <w:rsid w:val="00417233"/>
    <w:rsid w:val="00435D81"/>
    <w:rsid w:val="00435FD5"/>
    <w:rsid w:val="00441822"/>
    <w:rsid w:val="0044589D"/>
    <w:rsid w:val="00467B12"/>
    <w:rsid w:val="004B212B"/>
    <w:rsid w:val="004B4A8F"/>
    <w:rsid w:val="004D3B38"/>
    <w:rsid w:val="00544C02"/>
    <w:rsid w:val="00561A7E"/>
    <w:rsid w:val="005B5CB6"/>
    <w:rsid w:val="005B5E5B"/>
    <w:rsid w:val="005E1F10"/>
    <w:rsid w:val="005E23F2"/>
    <w:rsid w:val="00621A55"/>
    <w:rsid w:val="00636515"/>
    <w:rsid w:val="006F126E"/>
    <w:rsid w:val="006F1704"/>
    <w:rsid w:val="007067DA"/>
    <w:rsid w:val="007172F7"/>
    <w:rsid w:val="007203EE"/>
    <w:rsid w:val="00723EBC"/>
    <w:rsid w:val="00745988"/>
    <w:rsid w:val="00747A50"/>
    <w:rsid w:val="00751BB5"/>
    <w:rsid w:val="00754BBE"/>
    <w:rsid w:val="007623F4"/>
    <w:rsid w:val="00783296"/>
    <w:rsid w:val="007B5F09"/>
    <w:rsid w:val="007D5968"/>
    <w:rsid w:val="007D645E"/>
    <w:rsid w:val="00812564"/>
    <w:rsid w:val="00825494"/>
    <w:rsid w:val="00883079"/>
    <w:rsid w:val="00893973"/>
    <w:rsid w:val="008B170C"/>
    <w:rsid w:val="008C76B8"/>
    <w:rsid w:val="008F3192"/>
    <w:rsid w:val="0091046B"/>
    <w:rsid w:val="00932B32"/>
    <w:rsid w:val="00934731"/>
    <w:rsid w:val="009415C6"/>
    <w:rsid w:val="009642A0"/>
    <w:rsid w:val="009A4FF9"/>
    <w:rsid w:val="009D1A2D"/>
    <w:rsid w:val="009D1F48"/>
    <w:rsid w:val="009F5ACB"/>
    <w:rsid w:val="00A30DB8"/>
    <w:rsid w:val="00AC0993"/>
    <w:rsid w:val="00AE31A2"/>
    <w:rsid w:val="00AE3F8C"/>
    <w:rsid w:val="00B23CFA"/>
    <w:rsid w:val="00B256D4"/>
    <w:rsid w:val="00B7353E"/>
    <w:rsid w:val="00BA2E2E"/>
    <w:rsid w:val="00BB1D7E"/>
    <w:rsid w:val="00BF7103"/>
    <w:rsid w:val="00C132A9"/>
    <w:rsid w:val="00C27EAF"/>
    <w:rsid w:val="00C31F3A"/>
    <w:rsid w:val="00C445EC"/>
    <w:rsid w:val="00C578BD"/>
    <w:rsid w:val="00C70A5A"/>
    <w:rsid w:val="00C76EA3"/>
    <w:rsid w:val="00C94B82"/>
    <w:rsid w:val="00CB67B8"/>
    <w:rsid w:val="00CC0C13"/>
    <w:rsid w:val="00CC18C9"/>
    <w:rsid w:val="00CD5E95"/>
    <w:rsid w:val="00CF702C"/>
    <w:rsid w:val="00D33AF4"/>
    <w:rsid w:val="00D83713"/>
    <w:rsid w:val="00DA2C3F"/>
    <w:rsid w:val="00DA6530"/>
    <w:rsid w:val="00DB77D7"/>
    <w:rsid w:val="00DD6EF9"/>
    <w:rsid w:val="00DF03D6"/>
    <w:rsid w:val="00E1780A"/>
    <w:rsid w:val="00E245E2"/>
    <w:rsid w:val="00E9079D"/>
    <w:rsid w:val="00EA16E0"/>
    <w:rsid w:val="00EA1940"/>
    <w:rsid w:val="00EB47D3"/>
    <w:rsid w:val="00F0539E"/>
    <w:rsid w:val="00F145CA"/>
    <w:rsid w:val="00F4402E"/>
    <w:rsid w:val="00F651D7"/>
    <w:rsid w:val="00F67EAB"/>
    <w:rsid w:val="00F73CBF"/>
    <w:rsid w:val="00FD7B0A"/>
    <w:rsid w:val="00FE1961"/>
    <w:rsid w:val="00FE599D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9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903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3E0903"/>
    <w:rPr>
      <w:b/>
      <w:bCs/>
    </w:rPr>
  </w:style>
  <w:style w:type="paragraph" w:customStyle="1" w:styleId="11">
    <w:name w:val="Знак Знак1 Знак1"/>
    <w:basedOn w:val="a"/>
    <w:rsid w:val="00257F23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A768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A76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9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903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3E0903"/>
    <w:rPr>
      <w:b/>
      <w:bCs/>
    </w:rPr>
  </w:style>
  <w:style w:type="paragraph" w:customStyle="1" w:styleId="11">
    <w:name w:val="Знак Знак1 Знак1"/>
    <w:basedOn w:val="a"/>
    <w:rsid w:val="00257F23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A768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A76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5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mp.lenobl.ru/ru/program/antimonopolnyj-komplae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Таранова</dc:creator>
  <cp:lastModifiedBy>Ирина Михайловна Терпигорева</cp:lastModifiedBy>
  <cp:revision>7</cp:revision>
  <cp:lastPrinted>2026-02-03T06:21:00Z</cp:lastPrinted>
  <dcterms:created xsi:type="dcterms:W3CDTF">2026-02-12T07:52:00Z</dcterms:created>
  <dcterms:modified xsi:type="dcterms:W3CDTF">2026-02-12T11:39:00Z</dcterms:modified>
</cp:coreProperties>
</file>