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молодежном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студенческом, школьном инициативном бюджетировании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Ленинградской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целях реализации Национального проекта «Молодежь и дети» комитетом </w:t>
        <w:br/>
        <w:t xml:space="preserve">по молодежной политике Ленинградской области проведена большая работа </w:t>
        <w:br/>
        <w:t xml:space="preserve">по разработке правовой базы, позволяющей реализовывать в регионе механизмы молодежного инициативного бюджетирования.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Благодаря принятию трех нормативных правовых актов с этого года в регионе появилась возможность поддержки молодежных, школьных и студенческих инициатив.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Помимо указанных нормативных правовых актов комитетом совместно </w:t>
        <w:br/>
        <w:t xml:space="preserve">с молодежным проектным офисом ГБУ ЛО «Ресурсный добровольческий центр» были разработаны методические материалы и шаблоны правовых акто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</w:t>
        <w:br/>
        <w:t xml:space="preserve">для реализации всех трех порядков на муниципальном уровне.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Молодежное инициативное бюджетирование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это механизм вовлечения молодежи 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35 лет в принятие бюджетных решений на муниципа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льном уровне через разработку,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конкурсный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отбор и реализацию конкретных проектов,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софинансируемых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 областного бюджета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Ключевая цель — повышение социальной активности молодежи </w:t>
        <w:br/>
        <w:t xml:space="preserve">и ее вовлечение в развитие территории через участие в распределении бюджетных средств и реализацию молодежных инициатив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Прием заявок 06 - 24 апреля 2026 года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участию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конкурсном отборе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допускаются проекты, решающие 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просы местного значения и относящиеся к одному 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обустройство молодежных и общественных пространств;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развитие молодежных центров и объектов социальной инфраструктуры;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социально значимы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(экологически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патриотически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воло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нтерски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инклюзивны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запуск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образовательны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профориентационны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цифровы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IT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-проект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(цифровая грамотность, программирование, 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кибербезопасность);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событийны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(культурны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спортивны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социальны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Процедура подачи заявки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состоит из муниципального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этапов.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Муниципальный этап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инициативное выдвижение проектов молодежью;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экспертиза проектов муниципальной экспертной комиссией;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формирование муниципального реестра проектов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Подача заявки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В одной заявке — один проект.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Количество заявок от одного муниципалитета не ограничено.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Заявки подаются в электронном документообороте + нарочно.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Региональный этап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комитет по молодежной политике проверяет заявки на соответствие требованиям и либо допускает, либо мотивированно отказывает.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все допущенные проекты выносятся на голосование - проекты размещаются на «Добро.РФ» на 30 календарных дней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Формируется рейтинг проектов по количеству голосов.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Если одинаковое количество голосов, то региональная экспертная комиссия проводит дополнительную оценку по 4 равновесным критериям: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значимость проекта;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качество проработки;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реалистичность;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эффективность предлагаемых решений.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Максимальный размер субсидии на один проект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млн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офинансирование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обязательным участием муниципального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Нецелевое использование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недостижение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результатов ведет к возврату средств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Пробл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емные вопросы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Неравномерная активность муниципальных образований, некоторые муниципальные образования не участвуют.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использование методических рекомендаций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молодежному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инициативному бюджетированию;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обмен практиками между муниципальными образованиями.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Сложности с реализацией проектов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ранняя проработка реализации проектов (до подачи заявки);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привлечение профильных муниципальных служб на этапе подачи заявки;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«дорожная карта» реализации с контрольными точками.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Недоверие молодежи и жителей к результатам реализации проектов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максимальная прозрачность: публикация протоколов, итогов, фото реализации проектов.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Школьное инициативное бюджетирование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это механизм вовлечения обучающихся общеобразовательных организаций 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 лет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(8-11 классы)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принятие бюджетных решений и развитие школьной инфраструктуры через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реализацию школьных проектов при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софинансировании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 областного бюджета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bookmarkStart w:id="0" w:name="_GoBack"/>
      <w:r/>
      <w:bookmarkEnd w:id="0"/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Ключевая цель — повышение социальной и созидательной активности обучающихся, поддержка школьных инициатив и вовлечение школьников в принятие бюджетных решений, направленных на развитие инфраструктуры общеобразовательных организаций.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Прием заявок 06 - 24 апреля 2026 года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участию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конкурс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 отборе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допускаются проекты по следующим направлениям: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благоустройство территории школы и школьных общественных пространств;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организация социально значимых и событийных мероприятий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запуск образовательных и проф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ориентационных программ на базе школы;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цифровы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IT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-инициатив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(цифровая грамотность, программирование, кибербезопасность, ИИ)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Процедура подачи заявки состоит 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школьного,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этапов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Школьный этап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Команды школьников разрабатывают проекты;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Проходит общешкольное собрание и голосование;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Выбирается проект для направления на муниципальный уровень.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Муниципальный этап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Муниципальная экспертная комиссия проводит экспертизу и утверждает реестр проектов.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Областной этап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Муниципалитет подает заявку в комитет по молодежной политике. В одной заявке — один школьный проект;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количество заявок от муниципалитета не ограничено;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• Документы подаются в электронном виде и нарочно.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отличие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молодежного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инициативного бюджетирования, победитель определяется не гол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осованием, а оценкой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экспертной комиссии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 следующим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показателям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значимость и обоснованность проекта;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реалистичность и наличие ресурсов;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эффективность и охват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финансовое обеспечение и софинансирование;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информационная насыщенность;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инновационность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потенциал тиражирования.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Побеждают проекты, набравшие наибольшее количество баллов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Максимальный размер субсидии на один проект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 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млн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Проблемны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е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 вопрос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ы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Формальное участие школьников: проекты «спускаются сверху», школьники участвуют номинально, голосование формальное.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обязательная защита проектов самими школьниками, а не педагогами;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разъяснение процедуры языком, понятным школьнику;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чек-лист участия в проекте: команда, разработка проекта и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Слабая проработка проектов: проекты эмоциональные, но нереалистичные; нет сметы, сроков, понимания хода реализации.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создание шаблонов проектов (цел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→ задачи → мероприятия → бюджет);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сопровождение школьным координатором (не автором проекта);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предварительная «мягкая» экспертиза до голосования.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Низкое качество школьного голосования: голосуют «за друзей», низкая вовлеченность, малая явка.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публичные презентации проектов;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определенные критерии для школьников </w:t>
      </w:r>
      <w:r>
        <w:rPr>
          <w:rFonts w:ascii="Times New Roman" w:hAnsi="Times New Roman" w:eastAsia="Times New Roman" w:cs="Times New Roman"/>
          <w:sz w:val="24"/>
          <w:szCs w:val="28"/>
        </w:rPr>
        <w:t xml:space="preserve">(«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 что мы голосуем»).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Студенческое инициативное бюджетирование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это механизм поддержки проектов, разработанных студентами 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35 лет, направленных на развитие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инфраструктуры молодежной политики внутри образовательных организаций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среднего профессионального и высшего образования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Ленинградской области, реализуемых за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чет гранта в форме субсидии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областного бюджета.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Ключевая цель — вовлечение студентов в принятие бюджетных решений </w:t>
        <w:br/>
        <w:t xml:space="preserve">и развитие инфраструктуры молодежной политики через реализацию проектов студенческого инициативного бюджетирования.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Участник конкурсного отбора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образовательная организация Ленинградской обл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реализующая программы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среднего профессионального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высшего образования.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Порядок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предоставления грантов в форме субсидий из областного бюджета образовательным организациям Ленинградской области на поддержку проектов студенческого инициативного бюджетирования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подписан 7 апреля, сейчас проходит консультирование специалистов образовательных организаций по проведению СТиБ на базе образовательной организации.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Проекты должны решать задачи конкретной образовательной организации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относиться к одному из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на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highlight w:val="white"/>
        </w:rPr>
        <w:t xml:space="preserve">правлений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благоустройство территории и внутренних пространств, молодежных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 общественных зон;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организация социально значимых и событийных мероприятий;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запуск образовательных и профориентационных программ;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реализация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цифровы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IT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-проект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(цифровая грамот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ность, программирование, 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кибербезопасность).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Прием заявок от образовательных организаций запланирован на июнь 2026 года.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Процедура подачи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аяви: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 Уровень образовательной организации: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• выдвижение проектов группой студентов;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• проведение студенческого голосования;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• формирование реестра проектов комиссией образовательной организации.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Региональный уровень: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• подача заявки образовательной организацией через систему «Электронный бюджет»;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• оценка заявок региональной экспертной комиссией.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Проекты оцениваются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региональной экспертной комиссией.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Побеждают проекты, набрав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шие наибольшее количество баллов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Максимальный размер гранта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один проект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млн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рант в форме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субсидии носит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целевой характер.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Допускается софинансирование со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тороны образовательной организации и партнеров проекта.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Проблемны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е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 вопрос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  <w:t xml:space="preserve">ы</w:t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Низкая вовлеченность студенческого сообщества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роекты пишут активисты, большинство студентов «не в курсе».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обязательное студенческое голосование;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интеграция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студенческого инициативного бюджетирования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работу студ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енческих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информационная кампания «проект = изменения в твоей образовательной организации».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Страх участия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мероприятии из-за сложности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подачи заявки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прохождения конкурсных процедур в «Электронном бюджете»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создание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типовы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пакет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документов и шаблон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«Электронно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Инициативно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бюджетирование в Ленинградской области выстроено </w:t>
        <w:br/>
        <w:t xml:space="preserve">как сквозная система вовлечения молодежи, сопровождающая человека </w:t>
        <w:br/>
        <w:t xml:space="preserve">от школьного возраста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 студенчества и далее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участию в муниципальном развитии.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совокупности это не разрозненные конкурсы, а единая логика вз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росления гражданской активности.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567" w:bottom="851" w:left="1134" w:header="709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56182330"/>
      <w:docPartObj>
        <w:docPartGallery w:val="Page Numbers (Bottom of Page)"/>
        <w:docPartUnique w:val="true"/>
      </w:docPartObj>
      <w:rPr/>
    </w:sdtPr>
    <w:sdtContent>
      <w:p>
        <w:pPr>
          <w:pStyle w:val="734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778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9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89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0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2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3">
    <w:name w:val="Title Char"/>
    <w:basedOn w:val="712"/>
    <w:link w:val="724"/>
    <w:uiPriority w:val="10"/>
    <w:rPr>
      <w:sz w:val="48"/>
      <w:szCs w:val="48"/>
    </w:rPr>
  </w:style>
  <w:style w:type="character" w:styleId="694">
    <w:name w:val="Subtitle Char"/>
    <w:basedOn w:val="712"/>
    <w:link w:val="726"/>
    <w:uiPriority w:val="11"/>
    <w:rPr>
      <w:sz w:val="24"/>
      <w:szCs w:val="24"/>
    </w:rPr>
  </w:style>
  <w:style w:type="character" w:styleId="695">
    <w:name w:val="Quote Char"/>
    <w:link w:val="728"/>
    <w:uiPriority w:val="29"/>
    <w:rPr>
      <w:i/>
    </w:rPr>
  </w:style>
  <w:style w:type="character" w:styleId="696">
    <w:name w:val="Intense Quote Char"/>
    <w:link w:val="730"/>
    <w:uiPriority w:val="30"/>
    <w:rPr>
      <w:i/>
    </w:rPr>
  </w:style>
  <w:style w:type="character" w:styleId="697">
    <w:name w:val="Header Char"/>
    <w:basedOn w:val="712"/>
    <w:link w:val="732"/>
    <w:uiPriority w:val="99"/>
  </w:style>
  <w:style w:type="character" w:styleId="698">
    <w:name w:val="Footer Char"/>
    <w:basedOn w:val="712"/>
    <w:link w:val="734"/>
    <w:uiPriority w:val="99"/>
  </w:style>
  <w:style w:type="character" w:styleId="699">
    <w:name w:val="Caption Char"/>
    <w:basedOn w:val="712"/>
    <w:link w:val="736"/>
    <w:uiPriority w:val="35"/>
    <w:rPr>
      <w:b/>
      <w:bCs/>
      <w:color w:val="4f81bd" w:themeColor="accent1"/>
      <w:sz w:val="18"/>
      <w:szCs w:val="18"/>
    </w:rPr>
  </w:style>
  <w:style w:type="character" w:styleId="700">
    <w:name w:val="Footnote Text Char"/>
    <w:link w:val="865"/>
    <w:uiPriority w:val="99"/>
    <w:rPr>
      <w:sz w:val="18"/>
    </w:rPr>
  </w:style>
  <w:style w:type="character" w:styleId="701">
    <w:name w:val="Endnote Text Char"/>
    <w:link w:val="868"/>
    <w:uiPriority w:val="99"/>
    <w:rPr>
      <w:sz w:val="20"/>
    </w:rPr>
  </w:style>
  <w:style w:type="paragraph" w:styleId="702" w:default="1">
    <w:name w:val="Normal"/>
    <w:qFormat/>
  </w:style>
  <w:style w:type="paragraph" w:styleId="703">
    <w:name w:val="Heading 1"/>
    <w:basedOn w:val="702"/>
    <w:next w:val="702"/>
    <w:link w:val="71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Заголовок 1 Знак"/>
    <w:link w:val="703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702"/>
    <w:next w:val="702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link w:val="724"/>
    <w:uiPriority w:val="10"/>
    <w:rPr>
      <w:sz w:val="48"/>
      <w:szCs w:val="48"/>
    </w:rPr>
  </w:style>
  <w:style w:type="paragraph" w:styleId="726">
    <w:name w:val="Subtitle"/>
    <w:basedOn w:val="702"/>
    <w:next w:val="702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link w:val="726"/>
    <w:uiPriority w:val="11"/>
    <w:rPr>
      <w:sz w:val="24"/>
      <w:szCs w:val="24"/>
    </w:rPr>
  </w:style>
  <w:style w:type="paragraph" w:styleId="728">
    <w:name w:val="Quote"/>
    <w:basedOn w:val="702"/>
    <w:next w:val="702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2"/>
    <w:next w:val="702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70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 w:customStyle="1">
    <w:name w:val="Верхний колонтитул Знак"/>
    <w:link w:val="732"/>
    <w:uiPriority w:val="99"/>
  </w:style>
  <w:style w:type="paragraph" w:styleId="734">
    <w:name w:val="Footer"/>
    <w:basedOn w:val="702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 w:customStyle="1">
    <w:name w:val="Нижний колонтитул Знак"/>
    <w:link w:val="734"/>
    <w:uiPriority w:val="99"/>
  </w:style>
  <w:style w:type="paragraph" w:styleId="736">
    <w:name w:val="Caption"/>
    <w:basedOn w:val="702"/>
    <w:next w:val="702"/>
    <w:link w:val="73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37" w:customStyle="1">
    <w:name w:val="Название объекта Знак"/>
    <w:link w:val="736"/>
    <w:uiPriority w:val="35"/>
    <w:rPr>
      <w:b/>
      <w:bCs/>
      <w:color w:val="5b9bd5" w:themeColor="accent1"/>
      <w:sz w:val="18"/>
      <w:szCs w:val="18"/>
    </w:rPr>
  </w:style>
  <w:style w:type="table" w:styleId="738">
    <w:name w:val="Table Grid"/>
    <w:basedOn w:val="71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9" w:customStyle="1">
    <w:name w:val="Table Grid Light"/>
    <w:basedOn w:val="71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0" w:customStyle="1">
    <w:name w:val="Plain Table 1"/>
    <w:basedOn w:val="71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 w:customStyle="1">
    <w:name w:val="Plain Table 2"/>
    <w:basedOn w:val="71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 w:customStyle="1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8" w:customStyle="1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9" w:customStyle="1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0" w:customStyle="1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1" w:customStyle="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2" w:customStyle="1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3" w:customStyle="1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2" w:customStyle="1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3" w:customStyle="1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4" w:customStyle="1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5" w:customStyle="1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6" w:customStyle="1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 w:customStyle="1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8" w:customStyle="1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1" w:customStyle="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2" w:customStyle="1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3" w:customStyle="1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4" w:customStyle="1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5" w:customStyle="1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6" w:customStyle="1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5" w:customStyle="1">
    <w:name w:val="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6" w:customStyle="1">
    <w:name w:val="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7" w:customStyle="1">
    <w:name w:val="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8" w:customStyle="1">
    <w:name w:val="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9" w:customStyle="1">
    <w:name w:val="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0" w:customStyle="1">
    <w:name w:val="Bordered &amp; 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Bordered &amp; 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Bordered &amp; 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Bordered &amp; 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Bordered &amp; 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Bordered &amp; 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9" w:customStyle="1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0" w:customStyle="1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1" w:customStyle="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2" w:customStyle="1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3" w:customStyle="1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563c1" w:themeColor="hyperlink"/>
      <w:u w:val="single"/>
    </w:rPr>
  </w:style>
  <w:style w:type="paragraph" w:styleId="865">
    <w:name w:val="footnote text"/>
    <w:basedOn w:val="70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70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702"/>
    <w:next w:val="702"/>
    <w:uiPriority w:val="39"/>
    <w:unhideWhenUsed/>
    <w:pPr>
      <w:spacing w:after="57"/>
    </w:pPr>
  </w:style>
  <w:style w:type="paragraph" w:styleId="872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3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4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5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6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7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8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79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702"/>
    <w:next w:val="702"/>
    <w:uiPriority w:val="99"/>
    <w:unhideWhenUsed/>
    <w:pPr>
      <w:spacing w:after="0"/>
    </w:pPr>
  </w:style>
  <w:style w:type="paragraph" w:styleId="882">
    <w:name w:val="No Spacing"/>
    <w:basedOn w:val="702"/>
    <w:uiPriority w:val="1"/>
    <w:qFormat/>
    <w:pPr>
      <w:spacing w:after="0" w:line="240" w:lineRule="auto"/>
    </w:pPr>
  </w:style>
  <w:style w:type="paragraph" w:styleId="883">
    <w:name w:val="List Paragraph"/>
    <w:basedOn w:val="702"/>
    <w:uiPriority w:val="34"/>
    <w:qFormat/>
    <w:pPr>
      <w:contextualSpacing/>
      <w:ind w:left="720"/>
    </w:pPr>
  </w:style>
  <w:style w:type="paragraph" w:styleId="884">
    <w:name w:val="Balloon Text"/>
    <w:basedOn w:val="702"/>
    <w:link w:val="88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5" w:customStyle="1">
    <w:name w:val="Текст выноски Знак"/>
    <w:basedOn w:val="712"/>
    <w:link w:val="88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Геннадьевна РОГУТЕНОК</dc:creator>
  <cp:lastModifiedBy>am_bublei</cp:lastModifiedBy>
  <cp:revision>8</cp:revision>
  <dcterms:created xsi:type="dcterms:W3CDTF">2026-02-03T08:58:00Z</dcterms:created>
  <dcterms:modified xsi:type="dcterms:W3CDTF">2026-04-13T06:13:09Z</dcterms:modified>
</cp:coreProperties>
</file>